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b w:val="1"/>
          <w:color w:val="000000"/>
          <w:sz w:val="32"/>
        </w:rPr>
        <w:t>Информация о развитии и поддержке малого и среднего предпринимательства за 202</w:t>
      </w:r>
      <w:r>
        <w:rPr>
          <w:b w:val="1"/>
          <w:color w:val="000000"/>
          <w:sz w:val="32"/>
        </w:rPr>
        <w:t>2</w:t>
      </w:r>
      <w:r>
        <w:rPr>
          <w:b w:val="1"/>
          <w:color w:val="000000"/>
          <w:sz w:val="32"/>
        </w:rPr>
        <w:t xml:space="preserve"> год</w:t>
      </w:r>
    </w:p>
    <w:p w14:paraId="02000000">
      <w:pPr>
        <w:ind w:firstLine="709" w:left="0"/>
        <w:jc w:val="both"/>
        <w:rPr>
          <w:sz w:val="28"/>
        </w:rPr>
      </w:pPr>
      <w:r>
        <w:rPr>
          <w:sz w:val="28"/>
        </w:rPr>
        <w:t>Основн</w:t>
      </w:r>
      <w:r>
        <w:rPr>
          <w:sz w:val="28"/>
        </w:rPr>
        <w:t>ыми</w:t>
      </w:r>
      <w:r>
        <w:rPr>
          <w:sz w:val="28"/>
        </w:rPr>
        <w:t xml:space="preserve"> цел</w:t>
      </w:r>
      <w:r>
        <w:rPr>
          <w:sz w:val="28"/>
        </w:rPr>
        <w:t>ями</w:t>
      </w:r>
      <w:r>
        <w:rPr>
          <w:sz w:val="28"/>
        </w:rPr>
        <w:t xml:space="preserve"> реализации программ</w:t>
      </w:r>
      <w:r>
        <w:rPr>
          <w:sz w:val="28"/>
        </w:rPr>
        <w:t>ы по поддержке и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предпринимательства в </w:t>
      </w:r>
      <w:r>
        <w:rPr>
          <w:sz w:val="28"/>
        </w:rPr>
        <w:t xml:space="preserve">поселке Айхал </w:t>
      </w:r>
      <w:r>
        <w:rPr>
          <w:sz w:val="28"/>
        </w:rPr>
        <w:t>Мирнинском районе Республики Саха (Якутия) является</w:t>
      </w:r>
      <w:r>
        <w:rPr>
          <w:sz w:val="28"/>
        </w:rPr>
        <w:t xml:space="preserve"> наращивание предпринимательского ресурса и</w:t>
      </w:r>
      <w:r>
        <w:rPr>
          <w:sz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>
        <w:rPr>
          <w:sz w:val="28"/>
        </w:rPr>
        <w:t xml:space="preserve">п. Айхал </w:t>
      </w:r>
      <w:r>
        <w:rPr>
          <w:sz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sz w:val="28"/>
        </w:rPr>
        <w:t xml:space="preserve"> Сумма</w:t>
      </w:r>
      <w:r>
        <w:rPr>
          <w:sz w:val="28"/>
        </w:rPr>
        <w:t xml:space="preserve"> финансирования мероприятий </w:t>
      </w:r>
      <w:r>
        <w:rPr>
          <w:sz w:val="28"/>
        </w:rPr>
        <w:t xml:space="preserve">программы </w:t>
      </w: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</w:t>
      </w:r>
      <w:r>
        <w:rPr>
          <w:sz w:val="28"/>
        </w:rPr>
        <w:t>составила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>0 000</w:t>
      </w:r>
      <w:r>
        <w:rPr>
          <w:sz w:val="28"/>
        </w:rPr>
        <w:t xml:space="preserve"> рублей</w:t>
      </w:r>
    </w:p>
    <w:p w14:paraId="03000000">
      <w:pPr>
        <w:rPr>
          <w:sz w:val="28"/>
        </w:rPr>
      </w:pPr>
      <w:r>
        <w:rPr>
          <w:sz w:val="28"/>
        </w:rPr>
        <w:t>В рамках муниципальной программы «</w:t>
      </w:r>
      <w:r>
        <w:rPr>
          <w:sz w:val="28"/>
        </w:rPr>
        <w:t>Поддержка и развитие малого и среднего</w:t>
      </w:r>
      <w:r>
        <w:rPr>
          <w:sz w:val="28"/>
        </w:rPr>
        <w:t xml:space="preserve"> </w:t>
      </w:r>
      <w:r>
        <w:rPr>
          <w:sz w:val="28"/>
        </w:rPr>
        <w:t>предпринимательства в муниципальном образовании «Поселок Айхал» Мирнинского района Республики Саха (Якутия) на 2022-2026 годы</w:t>
      </w:r>
      <w:r>
        <w:rPr>
          <w:sz w:val="28"/>
        </w:rPr>
        <w:t>» в прошлом году администрацией реализовывались следующие мероприятия:</w:t>
      </w:r>
    </w:p>
    <w:p w14:paraId="04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1. </w:t>
      </w:r>
      <w:r>
        <w:rPr>
          <w:b w:val="1"/>
          <w:sz w:val="28"/>
        </w:rPr>
        <w:t>Для создания стимулов для вовлечения незанятого населения в сферу малого бизнеса:</w:t>
      </w:r>
    </w:p>
    <w:p w14:paraId="05000000">
      <w:pPr>
        <w:numPr>
          <w:ilvl w:val="0"/>
          <w:numId w:val="1"/>
        </w:numPr>
        <w:ind w:hanging="360" w:left="720"/>
        <w:contextualSpacing w:val="1"/>
        <w:jc w:val="both"/>
        <w:rPr>
          <w:sz w:val="28"/>
        </w:rPr>
      </w:pPr>
      <w:r>
        <w:rPr>
          <w:sz w:val="28"/>
        </w:rPr>
        <w:t xml:space="preserve">проводились обучающие </w:t>
      </w:r>
      <w:r>
        <w:rPr>
          <w:sz w:val="28"/>
        </w:rPr>
        <w:t>онлайн</w:t>
      </w:r>
      <w:r>
        <w:rPr>
          <w:sz w:val="28"/>
        </w:rPr>
        <w:t xml:space="preserve"> </w:t>
      </w:r>
      <w:r>
        <w:rPr>
          <w:sz w:val="28"/>
        </w:rPr>
        <w:t>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</w:t>
      </w:r>
      <w:r>
        <w:rPr>
          <w:sz w:val="28"/>
        </w:rPr>
        <w:t>, УФНС по РС (Я), Министерством предпринимательства торговли и туризма Республики Саха (Якутия).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остоянно ведутся консультации СМСП и желающих заняться предпринимательством по действующим программа</w:t>
      </w:r>
      <w:r>
        <w:rPr>
          <w:sz w:val="28"/>
        </w:rPr>
        <w:t>м поддержки предпринимательства;</w:t>
      </w:r>
    </w:p>
    <w:p w14:paraId="06000000">
      <w:pPr>
        <w:numPr>
          <w:ilvl w:val="0"/>
          <w:numId w:val="1"/>
        </w:numPr>
        <w:ind w:hanging="360" w:left="720"/>
        <w:contextualSpacing w:val="1"/>
        <w:jc w:val="both"/>
        <w:rPr>
          <w:sz w:val="28"/>
        </w:rPr>
      </w:pPr>
      <w:r>
        <w:rPr>
          <w:sz w:val="28"/>
        </w:rPr>
        <w:t>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</w:t>
      </w:r>
      <w:r>
        <w:rPr>
          <w:sz w:val="28"/>
        </w:rPr>
        <w:t>го климата в МО «Поселок Айхал»;</w:t>
      </w:r>
      <w:r>
        <w:rPr>
          <w:sz w:val="28"/>
        </w:rPr>
        <w:t xml:space="preserve"> </w:t>
      </w:r>
    </w:p>
    <w:p w14:paraId="07000000">
      <w:pPr>
        <w:numPr>
          <w:ilvl w:val="0"/>
          <w:numId w:val="1"/>
        </w:numPr>
        <w:ind w:hanging="360" w:left="720"/>
        <w:contextualSpacing w:val="1"/>
        <w:jc w:val="both"/>
        <w:rPr>
          <w:sz w:val="28"/>
        </w:rPr>
      </w:pPr>
      <w:r>
        <w:rPr>
          <w:sz w:val="28"/>
        </w:rPr>
        <w:t xml:space="preserve">19 августа </w:t>
      </w:r>
      <w:r>
        <w:rPr>
          <w:sz w:val="28"/>
        </w:rPr>
        <w:t xml:space="preserve">с </w:t>
      </w:r>
      <w:r>
        <w:rPr>
          <w:sz w:val="28"/>
        </w:rPr>
        <w:t>МРИ ФНС № 1 по РС (Я)</w:t>
      </w:r>
      <w:r>
        <w:rPr>
          <w:sz w:val="28"/>
        </w:rPr>
        <w:t xml:space="preserve"> прошло</w:t>
      </w:r>
      <w:r>
        <w:rPr>
          <w:sz w:val="28"/>
        </w:rPr>
        <w:t xml:space="preserve"> обучени</w:t>
      </w:r>
      <w:r>
        <w:rPr>
          <w:sz w:val="28"/>
        </w:rPr>
        <w:t>е</w:t>
      </w:r>
      <w:r>
        <w:rPr>
          <w:sz w:val="28"/>
        </w:rPr>
        <w:t xml:space="preserve"> и обсуждени</w:t>
      </w:r>
      <w:r>
        <w:rPr>
          <w:sz w:val="28"/>
        </w:rPr>
        <w:t>е</w:t>
      </w:r>
      <w:r>
        <w:rPr>
          <w:sz w:val="28"/>
        </w:rPr>
        <w:t xml:space="preserve"> нововведений в законодательстве, касающиеся деятельности СМСП. </w:t>
      </w:r>
      <w:r>
        <w:rPr>
          <w:sz w:val="28"/>
        </w:rPr>
        <w:t>18 участников</w:t>
      </w:r>
      <w:r>
        <w:rPr>
          <w:sz w:val="28"/>
        </w:rPr>
        <w:t>;</w:t>
      </w:r>
    </w:p>
    <w:p w14:paraId="08000000">
      <w:pPr>
        <w:numPr>
          <w:ilvl w:val="0"/>
          <w:numId w:val="1"/>
        </w:numPr>
        <w:ind w:hanging="360" w:left="720"/>
        <w:contextualSpacing w:val="1"/>
        <w:jc w:val="both"/>
        <w:rPr>
          <w:sz w:val="28"/>
        </w:rPr>
      </w:pPr>
      <w:r>
        <w:rPr>
          <w:sz w:val="28"/>
        </w:rPr>
        <w:t>З1 августа на тему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«Налог на профессиональный доход» </w:t>
      </w:r>
      <w:r>
        <w:rPr>
          <w:sz w:val="28"/>
        </w:rPr>
        <w:t>с представителями Якутска МСП. 20 участников</w:t>
      </w:r>
      <w:r>
        <w:rPr>
          <w:sz w:val="28"/>
        </w:rPr>
        <w:t>;</w:t>
      </w:r>
    </w:p>
    <w:p w14:paraId="09000000">
      <w:pPr>
        <w:numPr>
          <w:ilvl w:val="0"/>
          <w:numId w:val="1"/>
        </w:numPr>
        <w:ind w:hanging="360" w:left="720"/>
        <w:contextualSpacing w:val="1"/>
        <w:jc w:val="both"/>
        <w:rPr>
          <w:sz w:val="28"/>
        </w:rPr>
      </w:pPr>
      <w:r>
        <w:rPr>
          <w:sz w:val="28"/>
        </w:rPr>
        <w:t>1 октября с</w:t>
      </w:r>
      <w:r>
        <w:rPr>
          <w:sz w:val="28"/>
        </w:rPr>
        <w:t xml:space="preserve"> </w:t>
      </w:r>
      <w:r>
        <w:rPr>
          <w:sz w:val="28"/>
        </w:rPr>
        <w:t>МАУ "Центр развития предпринимательства, занятости и туризма"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предпринимателей. Вебинар проходил через площадку ZOOM. Всего было более 20 участников.</w:t>
      </w:r>
    </w:p>
    <w:p w14:paraId="0A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07 декабря проведен семинар  Корпорацией МСП совместно с Министерством предпринимательства, торговли и туризма в РС (Я), АК "АЛРОСА" на тему: "Участие субъектов МСП в закупках отдельных видов юридических лиц по Федеральному закону </w:t>
      </w:r>
      <w:r>
        <w:rPr>
          <w:sz w:val="28"/>
        </w:rPr>
        <w:t>№ 223-ФЗ в условиях санкционных ограничений на примере АК «АЛРОСА» (ПАО)»</w:t>
      </w:r>
    </w:p>
    <w:p w14:paraId="0B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24 декабря руководителем управления инвестиционного  развития и развития предпринимательства проведен День открытых дверей для индивидуальных предпринимателей и жителей п.Айхал</w:t>
      </w:r>
    </w:p>
    <w:p w14:paraId="0C000000">
      <w:pPr>
        <w:ind w:firstLine="709" w:left="0"/>
        <w:jc w:val="both"/>
        <w:rPr>
          <w:sz w:val="28"/>
        </w:rPr>
      </w:pPr>
    </w:p>
    <w:p w14:paraId="0D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</w:t>
      </w:r>
      <w:r>
        <w:rPr>
          <w:b w:val="1"/>
          <w:sz w:val="28"/>
        </w:rPr>
        <w:t>ноябре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года проведен конкурс по отбору субъектов малого и среднего предпринимательства для предоставления финансовых средств.</w:t>
      </w:r>
    </w:p>
    <w:p w14:paraId="0E000000">
      <w:pPr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>Всег</w:t>
      </w:r>
      <w:r>
        <w:rPr>
          <w:sz w:val="28"/>
          <w:u w:val="single"/>
        </w:rPr>
        <w:t>о</w:t>
      </w:r>
      <w:r>
        <w:rPr>
          <w:sz w:val="28"/>
          <w:u w:val="single"/>
        </w:rPr>
        <w:t xml:space="preserve"> финансовую поддержку получили </w:t>
      </w:r>
      <w:r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субъект</w:t>
      </w:r>
      <w:r>
        <w:rPr>
          <w:sz w:val="28"/>
          <w:u w:val="single"/>
        </w:rPr>
        <w:t xml:space="preserve">ов </w:t>
      </w:r>
      <w:r>
        <w:rPr>
          <w:sz w:val="28"/>
          <w:u w:val="single"/>
        </w:rPr>
        <w:t>малого предпринимательства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занятых в сфере социального предпринимательства </w:t>
      </w:r>
      <w:r>
        <w:rPr>
          <w:sz w:val="28"/>
          <w:u w:val="single"/>
        </w:rPr>
        <w:t xml:space="preserve">на сумму </w:t>
      </w:r>
      <w:r>
        <w:rPr>
          <w:sz w:val="28"/>
          <w:u w:val="single"/>
        </w:rPr>
        <w:t>300 000 рублей</w:t>
      </w:r>
      <w:r>
        <w:rPr>
          <w:sz w:val="28"/>
          <w:u w:val="single"/>
        </w:rPr>
        <w:t>.</w:t>
      </w:r>
    </w:p>
    <w:p w14:paraId="0F000000">
      <w:pPr>
        <w:ind w:firstLine="709" w:left="0"/>
        <w:jc w:val="both"/>
        <w:rPr>
          <w:sz w:val="28"/>
          <w:u w:val="single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0"/>
        <w:gridCol w:w="1847"/>
        <w:gridCol w:w="3273"/>
        <w:gridCol w:w="1958"/>
        <w:gridCol w:w="1670"/>
      </w:tblGrid>
      <w:tr>
        <w:trPr>
          <w:trHeight w:hRule="atLeast" w:val="90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№ п/п</w:t>
            </w:r>
          </w:p>
        </w:tc>
        <w:tc>
          <w:tcPr>
            <w:tcW w:type="dxa" w:w="18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type="dxa" w:w="32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type="dxa" w:w="19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Вид предоставленной поддержки</w:t>
            </w:r>
          </w:p>
        </w:tc>
        <w:tc>
          <w:tcPr>
            <w:tcW w:type="dxa" w:w="1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Размер поддержки (рубли)</w:t>
            </w:r>
          </w:p>
        </w:tc>
      </w:tr>
      <w:tr>
        <w:trPr>
          <w:trHeight w:hRule="atLeast" w:val="300"/>
        </w:trPr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type="dxa" w:w="18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КОКОРИНА ЛЮДМИЛА ПАВЛОВНА</w:t>
            </w:r>
          </w:p>
        </w:tc>
        <w:tc>
          <w:tcPr>
            <w:tcW w:type="dxa" w:w="3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Индивидуальный предприниматель</w:t>
            </w:r>
          </w:p>
        </w:tc>
        <w:tc>
          <w:tcPr>
            <w:tcW w:type="dxa" w:w="1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Предоставление субсидий и грантов</w:t>
            </w:r>
          </w:p>
        </w:tc>
        <w:tc>
          <w:tcPr>
            <w:tcW w:type="dxa" w:w="1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46 698,00</w:t>
            </w:r>
          </w:p>
        </w:tc>
      </w:tr>
      <w:tr>
        <w:trPr>
          <w:trHeight w:hRule="atLeast" w:val="1500"/>
        </w:trPr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type="dxa" w:w="18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МОТОРИНА ВЕЛИМИРА АЛЕКСАНДРОВНА</w:t>
            </w:r>
          </w:p>
        </w:tc>
        <w:tc>
          <w:tcPr>
            <w:tcW w:type="dxa" w:w="3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Физическое лицо, не являющееся индивидуальным предпринимателем и применяющее специальный налоговый режим "Налог на профессиональный доход"</w:t>
            </w:r>
          </w:p>
        </w:tc>
        <w:tc>
          <w:tcPr>
            <w:tcW w:type="dxa" w:w="1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Предоставление субсидий и </w:t>
            </w:r>
            <w:r>
              <w:rPr>
                <w:rFonts w:ascii="Calibri" w:hAnsi="Calibri"/>
                <w:color w:val="000000"/>
                <w:sz w:val="22"/>
              </w:rPr>
              <w:t>грантов</w:t>
            </w:r>
          </w:p>
        </w:tc>
        <w:tc>
          <w:tcPr>
            <w:tcW w:type="dxa" w:w="1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34 774,03</w:t>
            </w:r>
          </w:p>
        </w:tc>
      </w:tr>
      <w:tr>
        <w:trPr>
          <w:trHeight w:hRule="atLeast" w:val="300"/>
        </w:trPr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type="dxa" w:w="18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САДЖЕНИЦА АЛЕКСАНДРА ОЛЕГОВНА</w:t>
            </w:r>
          </w:p>
        </w:tc>
        <w:tc>
          <w:tcPr>
            <w:tcW w:type="dxa" w:w="3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Индивидуальный предприниматель</w:t>
            </w:r>
          </w:p>
        </w:tc>
        <w:tc>
          <w:tcPr>
            <w:tcW w:type="dxa" w:w="1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Предоставление субсидий и грантов</w:t>
            </w:r>
          </w:p>
        </w:tc>
        <w:tc>
          <w:tcPr>
            <w:tcW w:type="dxa" w:w="1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218 527,97</w:t>
            </w:r>
          </w:p>
        </w:tc>
      </w:tr>
      <w:tr>
        <w:trPr>
          <w:trHeight w:hRule="atLeast" w:val="300"/>
        </w:trPr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type="dxa" w:w="18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type="dxa" w:w="3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type="dxa" w:w="1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0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type="dxa" w:w="1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00000"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300 000,00</w:t>
            </w:r>
          </w:p>
        </w:tc>
      </w:tr>
    </w:tbl>
    <w:p w14:paraId="29000000">
      <w:pPr>
        <w:ind/>
        <w:jc w:val="both"/>
        <w:rPr>
          <w:sz w:val="28"/>
          <w:u w:val="single"/>
        </w:rPr>
      </w:pPr>
    </w:p>
    <w:p w14:paraId="2A000000">
      <w:pPr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Имущественная поддержка субъектов малого и среднего предпринимательства.</w:t>
      </w:r>
    </w:p>
    <w:p w14:paraId="2B000000">
      <w:pPr>
        <w:ind w:firstLine="709" w:left="0"/>
        <w:jc w:val="both"/>
        <w:rPr>
          <w:i w:val="1"/>
          <w:sz w:val="28"/>
        </w:rPr>
      </w:pP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>
        <w:rPr>
          <w:sz w:val="28"/>
        </w:rPr>
        <w:t>Поселок Айхал</w:t>
      </w:r>
      <w:r>
        <w:rPr>
          <w:sz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14:paraId="2D000000">
      <w:pPr>
        <w:pStyle w:val="Style_1"/>
        <w:ind/>
        <w:jc w:val="center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Потребительский рынок</w:t>
      </w:r>
    </w:p>
    <w:p w14:paraId="2E000000"/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состоянию на 1 января 2021 г. в п. Айхал проживает 13750 человек. Функционируют 141 торговых объекта (67 – продовольственные, 74 – промышленные),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</w:t>
      </w:r>
      <w:r>
        <w:rPr>
          <w:sz w:val="28"/>
        </w:rPr>
        <w:t>ТОКе</w:t>
      </w:r>
      <w:r>
        <w:rPr>
          <w:sz w:val="28"/>
        </w:rPr>
        <w:t xml:space="preserve"> «Антей» и 30 ТЦ «Торговый центр». Обеспеченность торговыми площадями в поселке высокая.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50 жителей </w:t>
      </w:r>
      <w:r>
        <w:rPr>
          <w:sz w:val="28"/>
        </w:rPr>
        <w:t>Айхала</w:t>
      </w:r>
      <w:r>
        <w:rPr>
          <w:sz w:val="28"/>
        </w:rPr>
        <w:t xml:space="preserve"> – 1 СМСП (субъект малого и среднего предпринимательства).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141 торговых объекта (67 – продовольственные, 74 – промышленные). 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205 жителей </w:t>
      </w:r>
      <w:r>
        <w:rPr>
          <w:sz w:val="28"/>
        </w:rPr>
        <w:t>Айхала</w:t>
      </w:r>
      <w:r>
        <w:rPr>
          <w:sz w:val="28"/>
        </w:rPr>
        <w:t xml:space="preserve"> – 1 продовольственный торговый объект.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185 жителей </w:t>
      </w:r>
      <w:r>
        <w:rPr>
          <w:sz w:val="28"/>
        </w:rPr>
        <w:t>Айхала</w:t>
      </w:r>
      <w:r>
        <w:rPr>
          <w:sz w:val="28"/>
        </w:rPr>
        <w:t xml:space="preserve"> – 1 промышленный торговый объект.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Десять объектов торговли реализуют аптечную продукцию. 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В сфере платных услуг одним из важных вопросов является обеспечение населения поселка качественным бытовым обслуживанием.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Двенадцать индивидуальных предпринимателей предоставляют парикмахерские услуги и услуги салонов красоты.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Ремонтом обуви, одежды, текстильных изделий и электронной бытовой техники занимаются восемь предпринимателей.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Производством хлебобулочной и кондитерской продукции занимаются 5 субъектов малого и среднего предпринимательства (</w:t>
      </w:r>
      <w:r>
        <w:rPr>
          <w:sz w:val="28"/>
        </w:rPr>
        <w:t>ИП Мхоян</w:t>
      </w:r>
      <w:r>
        <w:rPr>
          <w:sz w:val="28"/>
        </w:rPr>
        <w:t xml:space="preserve">, ИП Кокорина Л.П., ИП Павлов А.С., ИП </w:t>
      </w:r>
      <w:r>
        <w:rPr>
          <w:sz w:val="28"/>
        </w:rPr>
        <w:t>Цахилова</w:t>
      </w:r>
      <w:r>
        <w:rPr>
          <w:sz w:val="28"/>
        </w:rPr>
        <w:t xml:space="preserve"> Ф.М., ИП Дорофеева А.Ю.), которые в полном объеме обеспечивают население п. Айхал данным </w:t>
      </w:r>
      <w:r>
        <w:rPr>
          <w:sz w:val="28"/>
        </w:rPr>
        <w:t xml:space="preserve">видом продукции. Качество данной продукции на высоком уровне. Немаловажную роль в этом играет конкуренция производителей. 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В сфере общественного общедоступного питания работают шесть объектов: кафе «Шагане» (ИП Павлов А.С.), кафе «Арт-Бууза</w:t>
      </w:r>
      <w:r>
        <w:rPr>
          <w:sz w:val="28"/>
        </w:rPr>
        <w:t xml:space="preserve">» (ИП </w:t>
      </w:r>
      <w:r>
        <w:rPr>
          <w:sz w:val="28"/>
        </w:rPr>
        <w:t>Дандарова С.З.</w:t>
      </w:r>
      <w:r>
        <w:rPr>
          <w:sz w:val="28"/>
        </w:rPr>
        <w:t>), кафе «</w:t>
      </w:r>
      <w:r>
        <w:rPr>
          <w:sz w:val="28"/>
        </w:rPr>
        <w:t>Микс</w:t>
      </w:r>
      <w:r>
        <w:rPr>
          <w:sz w:val="28"/>
        </w:rPr>
        <w:t>» (ООО Производственно-пищевой комплекс «Виктория»), стол-заказов «Икура (ИП Никифорова Е.И.) кафе «Рандеву» (ИП Бухна Т.), кафе «Чайхана» (ИП Базарбаев В.Х.)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В сфере общественного питания </w:t>
      </w:r>
      <w:r>
        <w:rPr>
          <w:sz w:val="28"/>
        </w:rPr>
        <w:t>функционирует 2 объект</w:t>
      </w:r>
      <w:r>
        <w:rPr>
          <w:sz w:val="28"/>
        </w:rPr>
        <w:t>ов. Из них:</w:t>
      </w:r>
    </w:p>
    <w:p w14:paraId="3B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4 кафе, 2 кондитерских, 2 школьных столовых, 5 рабочих столовых.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Открыт цех по переработке и консервированию рыбы ООО «</w:t>
      </w:r>
      <w:r>
        <w:rPr>
          <w:sz w:val="28"/>
        </w:rPr>
        <w:t>Холбо</w:t>
      </w:r>
      <w:r>
        <w:rPr>
          <w:sz w:val="28"/>
        </w:rPr>
        <w:t>» (Козлов Е.В.)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Открыто два тепличных комплекса (КФХ Бородин И.В., </w:t>
      </w:r>
      <w:r>
        <w:rPr>
          <w:sz w:val="28"/>
        </w:rPr>
        <w:t>Витеско</w:t>
      </w:r>
      <w:r>
        <w:rPr>
          <w:sz w:val="28"/>
        </w:rPr>
        <w:t xml:space="preserve"> В.П. </w:t>
      </w:r>
      <w:r>
        <w:rPr>
          <w:sz w:val="28"/>
        </w:rPr>
        <w:t>самозанятось</w:t>
      </w:r>
      <w:r>
        <w:rPr>
          <w:sz w:val="28"/>
        </w:rPr>
        <w:t xml:space="preserve">). Проект ИП </w:t>
      </w:r>
      <w:r>
        <w:rPr>
          <w:sz w:val="28"/>
        </w:rPr>
        <w:t>Витеско</w:t>
      </w:r>
      <w:r>
        <w:rPr>
          <w:sz w:val="28"/>
        </w:rPr>
        <w:t xml:space="preserve"> В.П. успешно запущен, и выращиваемая в тепличном комплексе микро-зелень уже пользуется повышенным спросом среди жителей поселка Айхал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ИП Медведь И.С. занимается содержанием сельскохозяйственных животных, в настоящий момент поголовье насчитывает 6 лошадей якутской породы. 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Производство непродовольственных потребительских товаров представлено полиграфической продукцией (ООО «</w:t>
      </w:r>
      <w:r>
        <w:rPr>
          <w:sz w:val="28"/>
        </w:rPr>
        <w:t>ТехСтройСервис</w:t>
      </w:r>
      <w:r>
        <w:rPr>
          <w:sz w:val="28"/>
        </w:rPr>
        <w:t>», ООО «Эталон»), сувенирной продукцией (ООО «</w:t>
      </w:r>
      <w:r>
        <w:rPr>
          <w:sz w:val="28"/>
        </w:rPr>
        <w:t>ТехСтройСервис</w:t>
      </w:r>
      <w:r>
        <w:rPr>
          <w:sz w:val="28"/>
        </w:rPr>
        <w:t>»). Переработка использованных автомобильных шин и производство тротуарной плитки (ООО «</w:t>
      </w:r>
      <w:r>
        <w:rPr>
          <w:sz w:val="28"/>
        </w:rPr>
        <w:t>Экоплюс</w:t>
      </w:r>
      <w:r>
        <w:rPr>
          <w:sz w:val="28"/>
        </w:rPr>
        <w:t xml:space="preserve">»). Другое производство непродовольственных потребительских товаров отсутствует. 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Федерации, Правительства Республики Саха (Якутия), а также в деятельности Администрации МО «Поселок Айхал».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Для Администрации поселка одним из приоритетных направлений является наращивание предпринимательского ресурса.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В целях обеспечения эффективного взаимодействия органов местного самоуправления и субъектов предпринимательской деятельности, создания благоприятных условий для развития предпринимательства на территории МО «Поселок Айхал» и выработки муниципальной политики поддержки и развития предпринимательства работает Координационный совета по поддержке предпринимательства при администрации п. Айхал.</w:t>
      </w:r>
    </w:p>
    <w:p w14:paraId="4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связи с введением на территории РС (Я) организационно-правовой формы «самозанятые», а </w:t>
      </w:r>
      <w:r>
        <w:rPr>
          <w:sz w:val="28"/>
        </w:rPr>
        <w:t>так же</w:t>
      </w:r>
      <w:r>
        <w:rPr>
          <w:sz w:val="28"/>
        </w:rPr>
        <w:t xml:space="preserve"> совместной направленной работы по искоренению незаконной предпринимательской деятельности с органами полиции и МРИ ФНС по РС(Я) № 1 произошло увеличение СМСП и «самозанятых», предлагающих услуги в сфере бытового обслуживания и торговли. В данном направлении ведется разъяснительная работа среди жителей поселка о последствиях незаконной предпринимательской деятельности, а также о последствиях потребления таких услуг.</w:t>
      </w:r>
    </w:p>
    <w:p w14:paraId="44000000">
      <w:pPr>
        <w:ind w:firstLine="708" w:left="0"/>
        <w:jc w:val="both"/>
        <w:rPr>
          <w:sz w:val="28"/>
        </w:rPr>
      </w:pPr>
      <w:r>
        <w:rPr>
          <w:sz w:val="28"/>
        </w:rPr>
        <w:t>В целях насыщения потребительского рынка п. Айхал проводится организация сезонной мелкорозничной торговли</w:t>
      </w:r>
      <w:r>
        <w:rPr>
          <w:sz w:val="28"/>
        </w:rPr>
        <w:t>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46000000">
      <w:pPr>
        <w:ind w:firstLine="708" w:left="0"/>
        <w:jc w:val="both"/>
        <w:rPr>
          <w:sz w:val="28"/>
        </w:rPr>
      </w:pPr>
      <w:r>
        <w:rPr>
          <w:sz w:val="28"/>
        </w:rPr>
        <w:t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</w:t>
      </w:r>
      <w:r>
        <w:rPr>
          <w:sz w:val="28"/>
        </w:rPr>
        <w:t xml:space="preserve"> проведения разъяснительной работы среди СМСП, а так </w:t>
      </w:r>
      <w:r>
        <w:rPr>
          <w:sz w:val="28"/>
        </w:rPr>
        <w:t xml:space="preserve">же </w:t>
      </w:r>
      <w:r>
        <w:rPr>
          <w:sz w:val="28"/>
        </w:rPr>
        <w:t xml:space="preserve"> консультирования</w:t>
      </w:r>
      <w:r>
        <w:rPr>
          <w:sz w:val="28"/>
        </w:rPr>
        <w:t xml:space="preserve"> населения для обращения в надзорные органы</w:t>
      </w:r>
      <w:r>
        <w:rPr>
          <w:sz w:val="28"/>
        </w:rPr>
        <w:t xml:space="preserve"> в связи с нарушением их прав</w:t>
      </w:r>
      <w:r>
        <w:rPr>
          <w:sz w:val="28"/>
        </w:rPr>
        <w:t xml:space="preserve">. 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Нормативы обеспеченности торговыми площадями</w:t>
      </w:r>
    </w:p>
    <w:p w14:paraId="49000000">
      <w:pPr>
        <w:ind/>
        <w:jc w:val="center"/>
        <w:rPr>
          <w:i w:val="1"/>
          <w:sz w:val="28"/>
        </w:rPr>
      </w:pPr>
    </w:p>
    <w:p w14:paraId="4A000000">
      <w:pPr>
        <w:ind/>
        <w:jc w:val="center"/>
        <w:rPr>
          <w:sz w:val="28"/>
        </w:rPr>
      </w:pPr>
      <w:r>
        <w:rPr>
          <w:sz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</w:rPr>
        <w:t>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1"/>
        <w:gridCol w:w="1594"/>
        <w:gridCol w:w="1530"/>
        <w:gridCol w:w="1240"/>
        <w:gridCol w:w="1748"/>
        <w:gridCol w:w="1355"/>
        <w:gridCol w:w="1213"/>
      </w:tblGrid>
      <w:tr>
        <w:tc>
          <w:tcPr>
            <w:tcW w:type="dxa" w:w="6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150"/>
              <w:ind/>
              <w:jc w:val="center"/>
            </w:pPr>
            <w:r>
              <w:t>Наиме</w:t>
            </w:r>
            <w:r>
              <w:t>-</w:t>
            </w:r>
            <w:r>
              <w:br/>
            </w:r>
            <w:r>
              <w:t>нование</w:t>
            </w:r>
            <w:r>
              <w:br/>
            </w:r>
            <w:r>
              <w:t>групп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150"/>
              <w:ind/>
              <w:jc w:val="center"/>
            </w:pPr>
            <w:r>
              <w:t>Фактическая обеспечен</w:t>
            </w:r>
          </w:p>
          <w:p w14:paraId="4E000000">
            <w:pPr>
              <w:spacing w:after="150"/>
              <w:ind/>
              <w:jc w:val="center"/>
            </w:pPr>
            <w:r>
              <w:t>ность</w:t>
            </w:r>
            <w:r>
              <w:t xml:space="preserve">, </w:t>
            </w:r>
          </w:p>
          <w:p w14:paraId="4F000000">
            <w:pPr>
              <w:spacing w:after="150"/>
              <w:ind/>
              <w:jc w:val="center"/>
            </w:pPr>
            <w:r>
              <w:t>м. кв.</w:t>
            </w: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150"/>
              <w:ind/>
              <w:jc w:val="center"/>
            </w:pPr>
            <w:r>
              <w:t>Числен-</w:t>
            </w:r>
            <w:r>
              <w:br/>
            </w:r>
            <w:r>
              <w:t>ность</w:t>
            </w:r>
            <w:r>
              <w:br/>
            </w:r>
            <w:r>
              <w:t>насе</w:t>
            </w:r>
            <w:r>
              <w:t>-</w:t>
            </w:r>
            <w:r>
              <w:br/>
            </w:r>
            <w:r>
              <w:t>ления</w:t>
            </w:r>
            <w:r>
              <w:br/>
            </w:r>
            <w:r>
              <w:t>города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150"/>
              <w:ind/>
              <w:jc w:val="center"/>
            </w:pPr>
            <w:r>
              <w:t>Норматив </w:t>
            </w:r>
            <w:r>
              <w:br/>
            </w:r>
            <w:r>
              <w:t>обеспе</w:t>
            </w:r>
            <w:r>
              <w:t>-</w:t>
            </w:r>
            <w:r>
              <w:br/>
            </w:r>
            <w:r>
              <w:t>ченности</w:t>
            </w:r>
            <w:r>
              <w:t xml:space="preserve"> по </w:t>
            </w:r>
            <w:r>
              <w:t>Мирнинскому</w:t>
            </w:r>
            <w:r>
              <w:t xml:space="preserve"> району</w:t>
            </w:r>
          </w:p>
          <w:p w14:paraId="52000000">
            <w:pPr>
              <w:spacing w:after="150"/>
              <w:ind/>
              <w:jc w:val="center"/>
            </w:pPr>
            <w:r>
              <w:t>(</w:t>
            </w:r>
            <w:r>
              <w:t>кв.м</w:t>
            </w:r>
            <w:r>
              <w:t>. на 1000 чел.)</w:t>
            </w:r>
          </w:p>
        </w:tc>
        <w:tc>
          <w:tcPr>
            <w:tcW w:type="dxa" w:w="13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150"/>
              <w:ind/>
              <w:jc w:val="center"/>
            </w:pPr>
            <w:r>
              <w:t>Норматив </w:t>
            </w:r>
            <w:r>
              <w:br/>
            </w:r>
            <w:r>
              <w:t>обеспе</w:t>
            </w:r>
            <w:r>
              <w:t>-</w:t>
            </w:r>
            <w:r>
              <w:br/>
            </w:r>
            <w:r>
              <w:t>ченности</w:t>
            </w:r>
            <w:r>
              <w:t xml:space="preserve"> по РС (Я) (</w:t>
            </w:r>
            <w:r>
              <w:t>кв.м</w:t>
            </w:r>
            <w:r>
              <w:t>. на 1000 чел.)</w:t>
            </w:r>
          </w:p>
        </w:tc>
        <w:tc>
          <w:tcPr>
            <w:tcW w:type="dxa" w:w="1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150"/>
              <w:ind/>
              <w:jc w:val="center"/>
            </w:pPr>
            <w:r>
              <w:t>Факти</w:t>
            </w:r>
            <w:r>
              <w:t>-</w:t>
            </w:r>
            <w:r>
              <w:br/>
            </w:r>
            <w:r>
              <w:t>чески</w:t>
            </w:r>
            <w:r>
              <w:br/>
            </w:r>
            <w:r>
              <w:t>обеспе</w:t>
            </w:r>
            <w:r>
              <w:t>-</w:t>
            </w:r>
            <w:r>
              <w:br/>
            </w:r>
            <w:r>
              <w:t>ченность</w:t>
            </w:r>
          </w:p>
          <w:p w14:paraId="55000000">
            <w:pPr>
              <w:spacing w:after="150"/>
              <w:ind/>
              <w:jc w:val="center"/>
            </w:pPr>
            <w:r>
              <w:t>(</w:t>
            </w:r>
            <w:r>
              <w:t>кв.м</w:t>
            </w:r>
            <w:r>
              <w:t>. на 1000 чел.)</w:t>
            </w:r>
          </w:p>
        </w:tc>
      </w:tr>
      <w:tr>
        <w:tc>
          <w:tcPr>
            <w:tcW w:type="dxa" w:w="6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150"/>
              <w:ind/>
            </w:pPr>
            <w:r>
              <w:t>Продтовары</w:t>
            </w:r>
          </w:p>
        </w:tc>
        <w:tc>
          <w:tcPr>
            <w:tcW w:type="dxa" w:w="153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r>
              <w:t>2246</w:t>
            </w:r>
          </w:p>
        </w:tc>
        <w:tc>
          <w:tcPr>
            <w:tcW w:type="dxa" w:w="124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>13750</w:t>
            </w:r>
          </w:p>
        </w:tc>
        <w:tc>
          <w:tcPr>
            <w:tcW w:type="dxa" w:w="17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t>130</w:t>
            </w:r>
          </w:p>
        </w:tc>
        <w:tc>
          <w:tcPr>
            <w:tcW w:type="dxa" w:w="135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120</w:t>
            </w:r>
          </w:p>
        </w:tc>
        <w:tc>
          <w:tcPr>
            <w:tcW w:type="dxa" w:w="1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b w:val="1"/>
              </w:rPr>
            </w:pPr>
            <w:r>
              <w:rPr>
                <w:b w:val="1"/>
              </w:rPr>
              <w:t>160</w:t>
            </w:r>
          </w:p>
        </w:tc>
      </w:tr>
      <w:tr>
        <w:tc>
          <w:tcPr>
            <w:tcW w:type="dxa" w:w="6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150"/>
              <w:ind/>
            </w:pPr>
            <w:r>
              <w:t>Промтовары</w:t>
            </w:r>
          </w:p>
        </w:tc>
        <w:tc>
          <w:tcPr>
            <w:tcW w:type="dxa" w:w="153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3728</w:t>
            </w:r>
          </w:p>
        </w:tc>
        <w:tc>
          <w:tcPr>
            <w:tcW w:type="dxa" w:w="124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13750</w:t>
            </w:r>
          </w:p>
        </w:tc>
        <w:tc>
          <w:tcPr>
            <w:tcW w:type="dxa" w:w="17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272</w:t>
            </w:r>
          </w:p>
        </w:tc>
        <w:tc>
          <w:tcPr>
            <w:tcW w:type="dxa" w:w="135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>251</w:t>
            </w:r>
          </w:p>
        </w:tc>
        <w:tc>
          <w:tcPr>
            <w:tcW w:type="dxa" w:w="1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b w:val="1"/>
              </w:rPr>
            </w:pPr>
            <w:r>
              <w:rPr>
                <w:b w:val="1"/>
              </w:rPr>
              <w:t>265</w:t>
            </w:r>
          </w:p>
        </w:tc>
      </w:tr>
      <w:tr>
        <w:tc>
          <w:tcPr>
            <w:tcW w:type="dxa" w:w="6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b w:val="1"/>
              </w:rPr>
            </w:pPr>
          </w:p>
        </w:tc>
        <w:tc>
          <w:tcPr>
            <w:tcW w:type="dxa" w:w="1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150"/>
              <w:ind/>
            </w:pPr>
            <w:r>
              <w:t>итого</w:t>
            </w:r>
          </w:p>
        </w:tc>
        <w:tc>
          <w:tcPr>
            <w:tcW w:type="dxa" w:w="153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5974</w:t>
            </w:r>
          </w:p>
        </w:tc>
        <w:tc>
          <w:tcPr>
            <w:tcW w:type="dxa" w:w="124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13750</w:t>
            </w:r>
          </w:p>
        </w:tc>
        <w:tc>
          <w:tcPr>
            <w:tcW w:type="dxa" w:w="17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402</w:t>
            </w:r>
          </w:p>
        </w:tc>
        <w:tc>
          <w:tcPr>
            <w:tcW w:type="dxa" w:w="135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371</w:t>
            </w:r>
          </w:p>
        </w:tc>
        <w:tc>
          <w:tcPr>
            <w:tcW w:type="dxa" w:w="1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b w:val="1"/>
              </w:rPr>
            </w:pPr>
            <w:r>
              <w:rPr>
                <w:b w:val="1"/>
              </w:rPr>
              <w:t>426</w:t>
            </w:r>
          </w:p>
        </w:tc>
      </w:tr>
    </w:tbl>
    <w:p w14:paraId="6B000000"/>
    <w:sectPr>
      <w:pgSz w:h="16838" w:orient="portrait" w:w="11906"/>
      <w:pgMar w:bottom="1134" w:footer="708" w:gutter="0" w:header="708" w:left="1701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trong"/>
    <w:link w:val="Style_8_ch"/>
    <w:rPr>
      <w:b w:val="1"/>
      <w:spacing w:val="0"/>
    </w:rPr>
  </w:style>
  <w:style w:styleId="Style_8_ch" w:type="character">
    <w:name w:val="Strong"/>
    <w:link w:val="Style_8"/>
    <w:rPr>
      <w:b w:val="1"/>
      <w:spacing w:val="0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Balloon Text"/>
    <w:basedOn w:val="Style_2"/>
    <w:link w:val="Style_15_ch"/>
    <w:rPr>
      <w:rFonts w:ascii="Segoe UI" w:hAnsi="Segoe UI"/>
      <w:sz w:val="18"/>
    </w:rPr>
  </w:style>
  <w:style w:styleId="Style_15_ch" w:type="character">
    <w:name w:val="Balloon Text"/>
    <w:basedOn w:val="Style_2_ch"/>
    <w:link w:val="Style_15"/>
    <w:rPr>
      <w:rFonts w:ascii="Segoe UI" w:hAnsi="Segoe UI"/>
      <w:sz w:val="1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2"/>
    <w:next w:val="Style_2"/>
    <w:link w:val="Style_1_ch"/>
    <w:uiPriority w:val="9"/>
    <w:qFormat/>
    <w:pPr>
      <w:keepNext w:val="1"/>
      <w:keepLines w:val="1"/>
      <w:spacing w:before="40"/>
      <w:ind/>
      <w:outlineLvl w:val="1"/>
    </w:pPr>
    <w:rPr>
      <w:rFonts w:asciiTheme="majorAscii" w:hAnsiTheme="majorHAnsi"/>
      <w:color w:themeColor="accent1" w:themeShade="BF" w:val="2F5496"/>
      <w:sz w:val="26"/>
    </w:rPr>
  </w:style>
  <w:style w:styleId="Style_1_ch" w:type="character">
    <w:name w:val="heading 2"/>
    <w:basedOn w:val="Style_2_ch"/>
    <w:link w:val="Style_1"/>
    <w:rPr>
      <w:rFonts w:asciiTheme="majorAscii" w:hAnsiTheme="majorHAnsi"/>
      <w:color w:themeColor="accent1" w:themeShade="BF" w:val="2F5496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rPr>
      <w:rFonts w:ascii="Times New Roman" w:hAnsi="Times New Roman"/>
      <w:sz w:val="20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2022-12-23T01:09:17Z</dcterms:modified>
</cp:coreProperties>
</file>