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марта 2013 г. N 18-2/10/2-1490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КОМПЛЕКС МЕР,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НАПРАВЛЕННЫХ НА ПРИВЛЕЧЕНИЕ ГОСУДАРСТВЕННЫХ И МУНИЦИПАЛЬНЫХ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СЛУЖАЩИХ К ПРОТИВОДЕЙСТВИЮ КОРРУПЦИИ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0"/>
      <w:bookmarkEnd w:id="0"/>
      <w:r>
        <w:rPr>
          <w:rFonts w:ascii="Calibri" w:hAnsi="Calibri" w:cs="Calibri"/>
        </w:rPr>
        <w:t>I. Организация антикоррупционной деятельности в федеральных государственных органах, государственных органах субъектов Российской Федерации, органах местного самоуправления, аппаратах избирательных комиссий муниципальных образований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2008 года в Российской Федерации проводится планомерная работа по формированию нормативной базы по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Для государственных и муниципальных служащих установлены четкие ограничения и запреты, определена ответственность за их нарушение. Наряду с этим выработан достаточный комплекс инструментов, обеспечивающих контроль за соблюдением антикоррупционных мер.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Теперь перед каждым федеральным государственным органом, государственным органом субъекта Российской Федерации, органом местного самоуправления, аппаратом избирательной комиссии муниципального образования (далее - органы государственной власти и местного самоуправления) стоит задача эффективно использовать данные положения законодательства на практике. При этом весь массив норм антикоррупционного законодательства необходимо адаптировать таким образом, чтобы он функционировал в конкретном органе с учетом специфики реализуемых функций. Для этого должны быть использованы как правовые инструменты, напрямую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</w:t>
      </w:r>
      <w:proofErr w:type="spellStart"/>
      <w:r>
        <w:rPr>
          <w:rFonts w:ascii="Calibri" w:hAnsi="Calibri" w:cs="Calibri"/>
        </w:rPr>
        <w:t>правоприменителя</w:t>
      </w:r>
      <w:proofErr w:type="spellEnd"/>
      <w:r>
        <w:rPr>
          <w:rFonts w:ascii="Calibri" w:hAnsi="Calibri" w:cs="Calibri"/>
        </w:rPr>
        <w:t xml:space="preserve"> и может различаться.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стимулирования активности в данной деятельности в </w:t>
      </w:r>
      <w:hyperlink r:id="rId4" w:history="1">
        <w:r>
          <w:rPr>
            <w:rFonts w:ascii="Calibri" w:hAnsi="Calibri" w:cs="Calibri"/>
            <w:color w:val="0000FF"/>
          </w:rPr>
          <w:t>Национальном плане</w:t>
        </w:r>
      </w:hyperlink>
      <w:r>
        <w:rPr>
          <w:rFonts w:ascii="Calibri" w:hAnsi="Calibri" w:cs="Calibri"/>
        </w:rPr>
        <w:t xml:space="preserve"> противодействия коррупции на 2012 - 2013 годы, утвержденном Указом Президента Российской Федерации от 13 марта 2012 г. N 297 (далее - Национальный план противодействия коррупции), пристальное внимание уделяется работе,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направленности. Реализацию мероприятий, направленных на противодействие коррупции, необходимо осуществлять систематически на плановой основе.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г. одобрен </w:t>
      </w:r>
      <w:hyperlink r:id="rId5" w:history="1">
        <w:r>
          <w:rPr>
            <w:rFonts w:ascii="Calibri" w:hAnsi="Calibri" w:cs="Calibri"/>
            <w:color w:val="0000FF"/>
          </w:rPr>
          <w:t>Типовой план</w:t>
        </w:r>
      </w:hyperlink>
      <w:r>
        <w:rPr>
          <w:rFonts w:ascii="Calibri" w:hAnsi="Calibri" w:cs="Calibri"/>
        </w:rPr>
        <w:t xml:space="preserve"> противодействия коррупции федерального органа исполнительной власти. Данный документ содержит комплекс мероприятий, которые прямо предусмотрены федеральными законами, указами Президента Российской Федерации, постановлениями Правительства Российской Федерации и поручениями.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Деятельность остальных федеральных государственных органов планируется с учетом положений </w:t>
      </w:r>
      <w:hyperlink r:id="rId6" w:history="1">
        <w:r>
          <w:rPr>
            <w:rFonts w:ascii="Calibri" w:hAnsi="Calibri" w:cs="Calibri"/>
            <w:color w:val="0000FF"/>
          </w:rPr>
          <w:t>Национальной стратегии</w:t>
        </w:r>
      </w:hyperlink>
      <w:r>
        <w:rPr>
          <w:rFonts w:ascii="Calibri" w:hAnsi="Calibri" w:cs="Calibri"/>
        </w:rPr>
        <w:t xml:space="preserve"> противодействия коррупции, утвержденной Указом Президента Российской Федерации от 13 апреля 2010 г. N 460, и </w:t>
      </w:r>
      <w:hyperlink r:id="rId7" w:history="1">
        <w:r>
          <w:rPr>
            <w:rFonts w:ascii="Calibri" w:hAnsi="Calibri" w:cs="Calibri"/>
            <w:color w:val="0000FF"/>
          </w:rPr>
          <w:t>Национального плана</w:t>
        </w:r>
      </w:hyperlink>
      <w:r>
        <w:rPr>
          <w:rFonts w:ascii="Calibri" w:hAnsi="Calibri" w:cs="Calibri"/>
        </w:rPr>
        <w:t xml:space="preserve"> противодействия коррупции.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итогам анализа информации о работе федеральных органов исполнительной власти по противодействию коррупции, включающей деятельность комиссий по соблюдению требований к </w:t>
      </w:r>
      <w:r>
        <w:rPr>
          <w:rFonts w:ascii="Calibri" w:hAnsi="Calibri" w:cs="Calibri"/>
        </w:rPr>
        <w:lastRenderedPageBreak/>
        <w:t>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исследования показывают,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вопросам, напрямую не предусмотренным вышеуказанными программными документами.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культуры антикоррупционного поведения во многом порождает необратимые последствия. В этой связи вопросам идеологии борьбы с коррупцией, правовому просвещению и формированию правильных стереотипов поведения нужно уделять больше внимания.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противодействию коррупции, который рекомендуется к использованию органами государственной власти и местного самоуправления.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деятельности, на основании данного комплекса мер.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II. Описание мер, направленных на привлечение государственных и муниципальных служащих к противодействию коррупции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направлениям: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- комиссии), осуществляющих функции по противодействию коррупции;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государственных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интересов;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1.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правонарушений, должностным лицам кадровых служб, ответственных за работу по профилактике коррупционных и иных правонарушений (далее - подразделение), рекомендуется обеспечить информирование государственных (муниципальных) служащих о возможности участия в его подготовке. Для обсуждения полученных замечаний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коллегий, соответствующих комиссий, офицерских собраний с участием представителей структурных подразделений государственного (муниципального) органа.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указанных мероприятий следует обсуждать возможные подходы к формулированию соответствующих норм и те трудности, которые могут возникнуть при их реализации на практике.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Представляется целесообразным проводить обсуждение как тех проектов актов, которые </w:t>
      </w:r>
      <w:r>
        <w:rPr>
          <w:rFonts w:ascii="Calibri" w:hAnsi="Calibri" w:cs="Calibri"/>
        </w:rPr>
        <w:lastRenderedPageBreak/>
        <w:t>разрабатываются органом государственной власти и местного самоуправления самостоятельно, так и тех, которые разрабатываются на основе типовых нормативных правовых актов и методических рекомендаций.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самоуправления. В ходе встречи предлагается обсуждать, прежде всего,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Высказанные государственными (муниципальными)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Полученные по итогам направленных запросов разъяснения следует доводить до сведения государственных (муниципальных) служащих по внутренней электронной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Подразделению необходимо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2.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интересов, аттестационных комиссий, а также структурных подразделений по профилактике коррупционных и иных правонарушений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821, в состав комиссии входят, в том числе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руководителем. Аналогичный порядок формирования комиссии предусматривается и для муниципальных служащих.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местного самоуправления.</w:t>
      </w:r>
      <w:bookmarkStart w:id="4" w:name="_GoBack"/>
      <w:bookmarkEnd w:id="4"/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рекомендуется осуществлять регулярную ротацию,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 представляется целесообразным информировать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мероприятий, способствующих привлечению членов трудового коллектива к участию: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создаваемых инициативных группах, занимающихся формированием нетерпимого отношения к коррупции (в воинских коллективах к такой деятельности предлагается привлекать </w:t>
      </w:r>
      <w:r>
        <w:rPr>
          <w:rFonts w:ascii="Calibri" w:hAnsi="Calibri" w:cs="Calibri"/>
        </w:rPr>
        <w:lastRenderedPageBreak/>
        <w:t>офицерские собрания);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программах наставничества над лицами, впервые поступающими на государственную (муниципальную) службу;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подготовке типовых ситуаций конфликта интересов и иных методических материалов по профилактике коррупции;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социологических опросах, направленных на оценку восприятия антикоррупционных мер и их эффективности;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противодействием коррупции;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других мероприятиях такого рода.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3. Стимулирование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к служебному поведению, ситуациях конфликта интересов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к сообщению представителю нанимателя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(муниципальных) служащих о существующих механизмах представления уведомления и его защиты, в том числе: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закрепить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</w:t>
      </w:r>
      <w:hyperlink r:id="rId9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разъяснять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довести до сведения государственных (муниципальных) служащих, что они имеют возможность уведомлять представителя нанимателя (работодателя) обо всех ставших им известными фактах совершения коррупционных правонарушений вне зависимости от того, обращался ли к ним кто-то лично.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4.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разработать памятки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 К числу таких вопросов относятся, в частности: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уголовная ответственность за дачу и получение взятки;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подарков;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урегулирование конфликта интересов;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иной оплачиваемой работы;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 замеченных фактах коррупции и т.д.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Представляется целесообразным сформулировать памятки на основе типовых жизненных ситуаций. Памятки должны быть краткими, написанными доступным языком без использования сложных юридических терминов. Также в памятки необходимо включить сведения для </w:t>
      </w:r>
      <w:r>
        <w:rPr>
          <w:rFonts w:ascii="Calibri" w:hAnsi="Calibri" w:cs="Calibri"/>
        </w:rPr>
        <w:lastRenderedPageBreak/>
        <w:t>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Размещать памятки рекомендуется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 в общедоступном формате (например, PDF). Распространять памятки следует как в электронной, так и в печатной форме.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Чтобы способствовать самостоятельному изучению гражданами, претендующими на замещение должностей государственной (муниципальной) службы, основ антикоррупционного законодательства, рекомендуется организовывать в рамках проведения конкурсных процедур анкетирование, тестирование или иные методы оценки знания положений соответствующих нормативных правовых актов.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противодействия коррупции.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Так, в частности, рекомендуется к проведению обязательный вводный семинар для граждан, впервые поступивших на государственную (муниципальную) службу. В ходе семинара необходимо разъяснить основные обязанности, запреты, ограничения, требования к служебному поведению, налагаемые на государственного (муниципального) служащего в целях противодействия 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правонарушений. Вводный семинар рекомендуется провести в течение 30 календарных дней с момента поступления гражданина на должность государственной (муниципальной) службы.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Регулярные семинары (не реже одного раза в год)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самоуправления. В ходе семинара важно уделить особое внимание порядку действий, которому государственные (муниципальные) служащие должны следовать для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антикоррупционного законодательства, детальному разбору отдельных наиболее сложных положений нормативных правовых актов и т.д. Регулярный семинар рекомендуется проводить не реже одного раза в год. Данное мероприятие может проводиться подразделениями как самостоятельно, так и с привлечением экспертов из научных организаций, образовательных учреждений. При этом ежегодный мониторинг уровня знаний антикоррупционного законодательства посредством анонимного опроса государственных (муниципальных) служащих позволит сформировать тематику и программы регулярных семинаров, а также покажет эффективность проводимых мероприятий.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Специальные семинары в случае существенных изменений законодательства в сфере противодействия коррупции, затрагивающих государственных (муниципальных) служащих. Основной целью такого семинара является ознакомление государственных (муниципальных) служащих с новыми правовыми нормами и подходам к их применению.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Беседа с государственными (муниципальными) служащими, увольняющимися с государственной (муниципальной) службы, чьи должности входили в перечень, установленный </w:t>
      </w:r>
      <w:hyperlink r:id="rId1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коррупции". В ходе беседы государственному (муниципальному) служащему следует разъяснить ограничения,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Одним из дополнительных инструментов реализации отдельных мероприятий, предусмотренных настоящим комплексом мер, может стать внутренний интернет-портал органа государственной власти и местного самоуправления, который возможно использовать для обеспечения обсуждения государственными (муниципальными) служащими проектов ведомственных нормативных правовых актов.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Кроме того, на внутреннем интернет-портале возможно проведение консультаций с государственными (муниципальными) служащими по вопросам выполнения и реализации требований антикоррупционного законодательства с помощью различных процедур: в режиме он-</w:t>
      </w:r>
      <w:proofErr w:type="spellStart"/>
      <w:r>
        <w:rPr>
          <w:rFonts w:ascii="Calibri" w:hAnsi="Calibri" w:cs="Calibri"/>
        </w:rPr>
        <w:t>лайн</w:t>
      </w:r>
      <w:proofErr w:type="spellEnd"/>
      <w:r>
        <w:rPr>
          <w:rFonts w:ascii="Calibri" w:hAnsi="Calibri" w:cs="Calibri"/>
        </w:rPr>
        <w:t xml:space="preserve"> по выделенному специальному адресу электронной почты, в режиме "вопрос-ответ" посредством размещения ответов на актуальные и часто задаваемые вопросы, в виде проведения он-</w:t>
      </w:r>
      <w:proofErr w:type="spellStart"/>
      <w:r>
        <w:rPr>
          <w:rFonts w:ascii="Calibri" w:hAnsi="Calibri" w:cs="Calibri"/>
        </w:rPr>
        <w:t>лайн</w:t>
      </w:r>
      <w:proofErr w:type="spellEnd"/>
      <w:r>
        <w:rPr>
          <w:rFonts w:ascii="Calibri" w:hAnsi="Calibri" w:cs="Calibri"/>
        </w:rPr>
        <w:t xml:space="preserve"> конференции с участием всех заинтересованных государственных (муниципальных) служащих. Также представляется целесообразным размещать на внутреннем интернет-портале разработанные ведомством формы (заявления), заполняемые государственными (муниципальными) служащими в случаях, предусмотренных антикоррупционным законодательством, методические рекомендации, памятки и разъяснения по вопросам антикоррупционной тематики.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III. Перечень мер, направленных на привлечение государственных и муниципальных служащих к противодействию коррупции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8280"/>
      </w:tblGrid>
      <w:tr w:rsidR="008912C3">
        <w:trPr>
          <w:trHeight w:val="600"/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80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I. Привлечение государственных и муниципальных служащих к участию в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обсуждении и разработке нормативных правовых актов по вопросам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противодействия коррупции                                                </w:t>
            </w:r>
          </w:p>
        </w:tc>
      </w:tr>
      <w:tr w:rsidR="008912C3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Информирование государственных муниципальных служащих о возможности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участия в подготовке проектов актов по вопросам противодействия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коррупции и проведение при необходимости рабочих встреч (серии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встреч), заседаний коллегий, соответствующих комиссий, офицерских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собраний с участием представителей структурных подразделений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(муниципальных) органов в целях организации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обсуждения полученных предложений государственных (муниципальных)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служащих по проектам актов.                                        </w:t>
            </w:r>
          </w:p>
        </w:tc>
      </w:tr>
      <w:tr w:rsidR="008912C3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не реже одного раза в год обсуждений практики применения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антикоррупционного законодательства с государственными 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(муниципальными) служащими органа государственной власти и местного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самоуправления.                                                    </w:t>
            </w:r>
          </w:p>
        </w:tc>
      </w:tr>
      <w:tr w:rsidR="008912C3"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Уведомление государственных (муниципальных) служащих органа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власти и местного самоуправления о возможности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принять участие в публичном обсуждении проектов нормативных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правовых актов по антикоррупционной тематике с использованием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механизмов, предусмотренных действующим законодательством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Федерации.                                              </w:t>
            </w:r>
          </w:p>
        </w:tc>
      </w:tr>
      <w:tr w:rsidR="008912C3">
        <w:trPr>
          <w:trHeight w:val="8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105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II. Активизация участия государственных и муниципальных служащих в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работе структурных подразделений по профилактике коррупционных и иных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правонарушений, а также комиссий по соблюдению требований к служебному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поведению и урегулированию конфликта интересов, аттестационных комиссий  </w:t>
            </w:r>
          </w:p>
        </w:tc>
      </w:tr>
      <w:tr w:rsidR="008912C3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Привлечение к участию в работе комиссии по соблюдению требований к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служебному поведению и урегулированию конфликта интересов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государственных (муниципальных) служащих представителей структурных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подразделений органа государственной власти и местного 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самоуправления.                                                    </w:t>
            </w:r>
          </w:p>
        </w:tc>
      </w:tr>
      <w:tr w:rsidR="008912C3"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регулярной ротации, в рамках которой представитель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(за исключением подразделения по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вопросам государственной службы и кадров, юридического (правового)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подразделения) входит в состав комиссии в течение одного года,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 чего его место занимает представитель другого структурного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подразделения.                                                     </w:t>
            </w:r>
          </w:p>
        </w:tc>
      </w:tr>
      <w:tr w:rsidR="008912C3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Информирование государственных (муниципальных) служащих о дате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предстоящего заседания комиссии и планируемых к рассмотрению на нем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вопросах, а также способах направления в комиссию информации по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данным вопросам.                                                   </w:t>
            </w:r>
          </w:p>
        </w:tc>
      </w:tr>
      <w:tr w:rsidR="008912C3">
        <w:trPr>
          <w:trHeight w:val="8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128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III. Стимулирование государственных и муниципальных служащих к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предоставлению информации об известных им случаях коррупционных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правонарушений, нарушений требований к служебному поведению, ситуациях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конфликта интересов                                                      </w:t>
            </w:r>
          </w:p>
        </w:tc>
      </w:tr>
      <w:tr w:rsidR="008912C3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Закрепление в локальном акте, устанавливающем порядок уведомления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представителя нанимателя (работодателя) об обращении к 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 (муниципальным) служащим в целях склонения к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совершению коррупционных правонарушений, механизмы защиты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заявителей, в том числе предусмотренные </w:t>
            </w:r>
            <w:hyperlink r:id="rId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пунктами 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r:id="rId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12</w:t>
              </w:r>
            </w:hyperlink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Методических рекомендаций о порядке уведомления представителя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нанимателя о фактах обращения в целях склонения государственного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муниципального служащего к совершению коррупционных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правонарушений &lt;1&gt;;                                                </w:t>
            </w:r>
          </w:p>
        </w:tc>
      </w:tr>
      <w:tr w:rsidR="008912C3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Разъяснение порядка уведомления представителя нанимателя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(работодателя) об обращении к государственным (муниципальным)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служащим в целях склонения к совершению коррупционных  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правонарушений, уделяя особое внимание предусмотренным механизмам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защиты заявителей.                                                 </w:t>
            </w:r>
          </w:p>
        </w:tc>
      </w:tr>
      <w:tr w:rsidR="008912C3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Доведение до сведения государственных (муниципальных) служащих, что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они не только должны уведомлять представителя нанимателя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(работодателя) об обращении к ним в целях склонения к совершению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коррупционных правонарушений, но также могут предоставлять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информацию обо всех ставших им известными фактах совершения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коррупционных правонарушений вне зависимости от того, обращался ли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ним кто-то лично.                                                </w:t>
            </w:r>
          </w:p>
        </w:tc>
      </w:tr>
      <w:tr w:rsidR="008912C3"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Закрепление в локальном акте, устанавливающем порядок и виды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поощрения и награждения органа государственной власти и местного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самоуправления, специального вида поощрения лицу, способствующему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раскрытию правонарушения коррупционной направленности  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(благодарственное письмо, внесение в книгу почета с выдачей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соответствующего свидетельства и др.).                             </w:t>
            </w:r>
          </w:p>
        </w:tc>
      </w:tr>
      <w:tr w:rsidR="008912C3">
        <w:trPr>
          <w:trHeight w:val="6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164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IV. Просвещение государственных и муниципальных служащих по  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антикоррупционной тематике и методическое обеспечение профессиональной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служебной деятельности государственных и муниципальных служащих          </w:t>
            </w:r>
          </w:p>
        </w:tc>
      </w:tr>
      <w:tr w:rsidR="008912C3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памяток по ключевым вопросам противодействия коррупции,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затрагивающим всех или большинство государственных (муниципальных)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служащих и предполагающих взаимодействие государственного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(муниципального) служащего с органом государственной власти и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самоуправления.                                           </w:t>
            </w:r>
          </w:p>
        </w:tc>
      </w:tr>
      <w:tr w:rsidR="008912C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в рамках проведения конкурсных процедур анкетирования,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тестирования или иных методов оценки знания положений основ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антикоррупционного законодательства.                               </w:t>
            </w:r>
          </w:p>
        </w:tc>
      </w:tr>
      <w:tr w:rsidR="008912C3">
        <w:trPr>
          <w:trHeight w:val="2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организации различных видов учебных семинаров по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вопросам противодействия коррупции:                    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вводного семинара для граждан, впервые поступивших на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государственную (муниципальную) службу;                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регулярных семинаров по ключевым вопросам противодействия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коррупции, затрагивающим всех или большинство государственных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(муниципальных) служащих и предполагающих взаимодействие с органом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власти и местного самоуправления;      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специальных семинаров в случае существенных изменений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законодательства в сфере противодействия коррупции, затрагивающих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(муниципальных) служащих.                          </w:t>
            </w:r>
          </w:p>
        </w:tc>
      </w:tr>
      <w:tr w:rsidR="008912C3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регулярной работы по разъяснению исполнения требований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антикоррупционного законодательства государственным (муниципальным)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служащими, увольняющимися с государственной (муниципальной) службы,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чьи должности входили в перечень, установленный </w:t>
            </w:r>
            <w:hyperlink r:id="rId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Указом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Президента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от 21 июля 2010 г. N 925 "О мерах по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отдельных положений Федерального закона "О              </w:t>
            </w:r>
          </w:p>
          <w:p w:rsidR="008912C3" w:rsidRDefault="008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противодействии коррупции".                                        </w:t>
            </w:r>
          </w:p>
        </w:tc>
      </w:tr>
    </w:tbl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Методические </w:t>
      </w:r>
      <w:hyperlink r:id="rId15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уведомлений, разработаны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и </w:t>
      </w:r>
      <w:hyperlink r:id="rId16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от 20 сентября 2010 г. N 7666-17 направлены в федеральные государственные органы для использования в работе.</w:t>
      </w: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2C3" w:rsidRDefault="00891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2C3" w:rsidRDefault="008912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19B1" w:rsidRDefault="00B019B1"/>
    <w:sectPr w:rsidR="00B019B1" w:rsidSect="0088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C3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46"/>
    <w:rsid w:val="000F24C2"/>
    <w:rsid w:val="000F24FD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0887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78DB"/>
    <w:rsid w:val="0029027D"/>
    <w:rsid w:val="0029372A"/>
    <w:rsid w:val="00293EFB"/>
    <w:rsid w:val="00295180"/>
    <w:rsid w:val="002A030A"/>
    <w:rsid w:val="002A178F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3E47"/>
    <w:rsid w:val="0031679B"/>
    <w:rsid w:val="003200DA"/>
    <w:rsid w:val="00320BE3"/>
    <w:rsid w:val="00325757"/>
    <w:rsid w:val="003273BB"/>
    <w:rsid w:val="00341D3B"/>
    <w:rsid w:val="00342848"/>
    <w:rsid w:val="003430D1"/>
    <w:rsid w:val="00344F69"/>
    <w:rsid w:val="00345E5C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C041D"/>
    <w:rsid w:val="003C0704"/>
    <w:rsid w:val="003C4991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5412"/>
    <w:rsid w:val="005358F9"/>
    <w:rsid w:val="00535982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407F"/>
    <w:rsid w:val="00635930"/>
    <w:rsid w:val="00641184"/>
    <w:rsid w:val="00643F59"/>
    <w:rsid w:val="00644A28"/>
    <w:rsid w:val="00646E69"/>
    <w:rsid w:val="006470DB"/>
    <w:rsid w:val="00650701"/>
    <w:rsid w:val="00652073"/>
    <w:rsid w:val="00653903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66EB"/>
    <w:rsid w:val="007B1BC4"/>
    <w:rsid w:val="007B2A72"/>
    <w:rsid w:val="007B77F9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8015A"/>
    <w:rsid w:val="00883512"/>
    <w:rsid w:val="00883CAD"/>
    <w:rsid w:val="00884139"/>
    <w:rsid w:val="00884BC5"/>
    <w:rsid w:val="0088559C"/>
    <w:rsid w:val="00885EEA"/>
    <w:rsid w:val="00890A3F"/>
    <w:rsid w:val="008912C3"/>
    <w:rsid w:val="00891588"/>
    <w:rsid w:val="00891A6A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10AC8"/>
    <w:rsid w:val="00911830"/>
    <w:rsid w:val="00911D89"/>
    <w:rsid w:val="0091222A"/>
    <w:rsid w:val="00912655"/>
    <w:rsid w:val="009128D2"/>
    <w:rsid w:val="00914859"/>
    <w:rsid w:val="00920BA7"/>
    <w:rsid w:val="00920DF2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4539"/>
    <w:rsid w:val="00974ACF"/>
    <w:rsid w:val="00980F99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9A5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404B"/>
    <w:rsid w:val="00A649C7"/>
    <w:rsid w:val="00A70E19"/>
    <w:rsid w:val="00A71841"/>
    <w:rsid w:val="00A7238E"/>
    <w:rsid w:val="00A76848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68CD"/>
    <w:rsid w:val="00B06A18"/>
    <w:rsid w:val="00B130EE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2391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B1E7E"/>
    <w:rsid w:val="00BB1EF9"/>
    <w:rsid w:val="00BB29D6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2041F"/>
    <w:rsid w:val="00C23321"/>
    <w:rsid w:val="00C23627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F2F"/>
    <w:rsid w:val="00D70069"/>
    <w:rsid w:val="00D70F1C"/>
    <w:rsid w:val="00D72AE7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7E80"/>
    <w:rsid w:val="00E51660"/>
    <w:rsid w:val="00E53E5E"/>
    <w:rsid w:val="00E5422A"/>
    <w:rsid w:val="00E56224"/>
    <w:rsid w:val="00E569F7"/>
    <w:rsid w:val="00E57655"/>
    <w:rsid w:val="00E6173D"/>
    <w:rsid w:val="00E63737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66E1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6630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500A6"/>
    <w:rsid w:val="00F50C8D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4071"/>
    <w:rsid w:val="00FF4F8B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19D60-874E-4739-A57B-4326C95F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69B368C5649AA45A048C2BDE1DCBB003D2D8752D00945997EFE7B620E996AF3CB57CE1AD3AB7Dm7G2I" TargetMode="External"/><Relationship Id="rId13" Type="http://schemas.openxmlformats.org/officeDocument/2006/relationships/hyperlink" Target="consultantplus://offline/ref=89269B368C5649AA45A048C2BDE1DCBB003A2D825FD80945997EFE7B620E996AF3CB57CE1AD3AB7Fm7G7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269B368C5649AA45A048C2BDE1DCBB003E28855DD80945997EFE7B620E996AF3CB57CE1AD3AB72m7G3I" TargetMode="External"/><Relationship Id="rId12" Type="http://schemas.openxmlformats.org/officeDocument/2006/relationships/hyperlink" Target="consultantplus://offline/ref=89269B368C5649AA45A048C2BDE1DCBB003A2D825FD80945997EFE7B620E996AF3CB57CE1AD3AB78m7G2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269B368C5649AA45A048C2BDE1DCBB003A2D825FD80945997EFE7B620E996AF3CB57CE1AD3AB7Bm7G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269B368C5649AA45A048C2BDE1DCBB00382C8258D90945997EFE7B620E996AF3CB57CE1AD3AB79m7G3I" TargetMode="External"/><Relationship Id="rId11" Type="http://schemas.openxmlformats.org/officeDocument/2006/relationships/hyperlink" Target="consultantplus://offline/ref=89269B368C5649AA45A048C2BDE1DCBB003A298452DB0945997EFE7B62m0GEI" TargetMode="External"/><Relationship Id="rId5" Type="http://schemas.openxmlformats.org/officeDocument/2006/relationships/hyperlink" Target="consultantplus://offline/ref=89269B368C5649AA45A048C2BDE1DCBB00382B8558DF0945997EFE7B620E996AF3CB57CE1AD3AB7Bm7G4I" TargetMode="External"/><Relationship Id="rId15" Type="http://schemas.openxmlformats.org/officeDocument/2006/relationships/hyperlink" Target="consultantplus://offline/ref=89269B368C5649AA45A048C2BDE1DCBB003A2D825FD80945997EFE7B620E996AF3CB57CE1AD3AB7Am7G3I" TargetMode="External"/><Relationship Id="rId10" Type="http://schemas.openxmlformats.org/officeDocument/2006/relationships/hyperlink" Target="consultantplus://offline/ref=89269B368C5649AA45A048C2BDE1DCBB003A2D825FD80945997EFE7B620E996AF3CB57CE1AD3AB7Fm7G7I" TargetMode="External"/><Relationship Id="rId4" Type="http://schemas.openxmlformats.org/officeDocument/2006/relationships/hyperlink" Target="consultantplus://offline/ref=89269B368C5649AA45A048C2BDE1DCBB003E28855DD80945997EFE7B620E996AF3CB57CE1AD3AB72m7G3I" TargetMode="External"/><Relationship Id="rId9" Type="http://schemas.openxmlformats.org/officeDocument/2006/relationships/hyperlink" Target="consultantplus://offline/ref=89269B368C5649AA45A048C2BDE1DCBB003A2D825FD80945997EFE7B620E996AF3CB57CE1AD3AB78m7G2I" TargetMode="External"/><Relationship Id="rId14" Type="http://schemas.openxmlformats.org/officeDocument/2006/relationships/hyperlink" Target="consultantplus://offline/ref=89269B368C5649AA45A048C2BDE1DCBB003A298452DB0945997EFE7B62m0G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4345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Олеся</cp:lastModifiedBy>
  <cp:revision>2</cp:revision>
  <dcterms:created xsi:type="dcterms:W3CDTF">2021-12-27T09:18:00Z</dcterms:created>
  <dcterms:modified xsi:type="dcterms:W3CDTF">2021-12-27T09:18:00Z</dcterms:modified>
</cp:coreProperties>
</file>