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B24557">
        <w:rPr>
          <w:lang w:val="en-US"/>
        </w:rPr>
        <w:t>I</w:t>
      </w:r>
      <w:r w:rsidR="003348C5">
        <w:rPr>
          <w:lang w:val="en-US"/>
        </w:rPr>
        <w:t>V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8"/>
        <w:gridCol w:w="4916"/>
      </w:tblGrid>
      <w:tr w:rsidR="004F625D" w:rsidTr="004F625D">
        <w:tc>
          <w:tcPr>
            <w:tcW w:w="5210" w:type="dxa"/>
            <w:hideMark/>
          </w:tcPr>
          <w:p w:rsidR="004F625D" w:rsidRDefault="00C03139" w:rsidP="00587A25">
            <w:pPr>
              <w:jc w:val="both"/>
              <w:rPr>
                <w:bCs/>
              </w:rPr>
            </w:pP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апреля</w:t>
            </w:r>
            <w:proofErr w:type="spellEnd"/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06027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3348C5">
              <w:rPr>
                <w:bCs/>
              </w:rPr>
              <w:t>4</w:t>
            </w:r>
            <w:r w:rsidR="00587EA3">
              <w:rPr>
                <w:bCs/>
              </w:rPr>
              <w:t>-4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Настоящее решение вступает в силу с даты принятия.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C03139">
        <w:rPr>
          <w:szCs w:val="18"/>
        </w:rPr>
        <w:t>14 апреля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C03139">
        <w:rPr>
          <w:bCs/>
          <w:szCs w:val="18"/>
        </w:rPr>
        <w:t>4</w:t>
      </w:r>
      <w:r w:rsidR="00587EA3">
        <w:rPr>
          <w:bCs/>
          <w:szCs w:val="18"/>
        </w:rPr>
        <w:t>-4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587EA3" w:rsidRPr="00A96827" w:rsidTr="003455DB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A3" w:rsidRPr="00A96827" w:rsidRDefault="001945A5" w:rsidP="0058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3" w:rsidRPr="00D72F6C" w:rsidRDefault="00587EA3" w:rsidP="00587EA3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15.09.2021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-№ 47-5 «О рассмотрении обращения Д.Р. </w:t>
            </w:r>
            <w:proofErr w:type="spell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Алмазная»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3" w:rsidRPr="00D72F6C" w:rsidRDefault="00587EA3" w:rsidP="00587EA3">
            <w:pPr>
              <w:ind w:firstLine="231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 xml:space="preserve">1. Администрации поселка </w:t>
            </w:r>
            <w:r w:rsidRPr="00D72F6C">
              <w:rPr>
                <w:b/>
                <w:sz w:val="20"/>
                <w:szCs w:val="20"/>
              </w:rPr>
              <w:t>до 31.12.2019</w:t>
            </w:r>
            <w:r w:rsidRPr="00D72F6C">
              <w:rPr>
                <w:sz w:val="20"/>
                <w:szCs w:val="20"/>
              </w:rPr>
              <w:t xml:space="preserve"> года обратиться в Арбитражный суд Республики Саха (Якутия) о понуждении Подрядчика к устранению дефектов крыши.</w:t>
            </w:r>
          </w:p>
          <w:p w:rsidR="00587EA3" w:rsidRPr="00D72F6C" w:rsidRDefault="00587EA3" w:rsidP="00587EA3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587EA3" w:rsidRPr="00D72F6C" w:rsidRDefault="00587EA3" w:rsidP="00587EA3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D72F6C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587EA3" w:rsidRPr="00AF5C71" w:rsidRDefault="00587EA3" w:rsidP="00587EA3">
            <w:pPr>
              <w:ind w:left="26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A3" w:rsidRPr="00D72F6C" w:rsidRDefault="00587EA3" w:rsidP="00587E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587EA3" w:rsidRPr="00043AF9" w:rsidRDefault="00587EA3" w:rsidP="00587E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 xml:space="preserve">(главный специалист – юрист </w:t>
            </w:r>
            <w:proofErr w:type="spellStart"/>
            <w:r w:rsidRPr="00D72F6C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Pr="00D72F6C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587EA3" w:rsidRPr="00A30C23" w:rsidRDefault="00587EA3" w:rsidP="00587EA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30C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587EA3" w:rsidRDefault="00587EA3" w:rsidP="00587EA3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 Возбуждено исполнительное производство № 65506/21/14017-ИП от 18.10.2021</w:t>
            </w:r>
          </w:p>
          <w:p w:rsidR="00587EA3" w:rsidRDefault="00587EA3" w:rsidP="00587EA3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29">
              <w:rPr>
                <w:rFonts w:ascii="Times New Roman" w:hAnsi="Times New Roman"/>
                <w:bCs/>
                <w:sz w:val="20"/>
                <w:szCs w:val="20"/>
              </w:rPr>
              <w:t>02.12.2021 в адрес Управления Федеральной службы судебных приставов по Республике Саха (Якутия) направлены заявления о предоставлении информации о ходе исполнительного производства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EA3" w:rsidRPr="00EA4751" w:rsidRDefault="00587EA3" w:rsidP="00587EA3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>В рамках исполнительного производства 46783/21/14017-ИП от 16.08.2021 поступил ответ на обращение о ходе исполнительного производства (исх. № 14017/21/118915 от 28.12.2021), судебным приставом-исполнителем представлена сводка и реестр электронных запросов по ИП.</w:t>
            </w:r>
          </w:p>
          <w:p w:rsidR="00587EA3" w:rsidRDefault="00587EA3" w:rsidP="00587EA3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исполнительного производства </w:t>
            </w:r>
            <w:r w:rsidRPr="00EA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65506/21/14017-ИП от 18.10.2021 ответ на обращение о ходе исполнительного производства в установленный срок не поступил, направлена жалоба в Прокуратуру г. Мирный.</w:t>
            </w:r>
          </w:p>
          <w:p w:rsidR="00587EA3" w:rsidRPr="006A6E82" w:rsidRDefault="00587EA3" w:rsidP="00587EA3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A6E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В адрес Мирнинского районного отдела судебных приставов Управления Федеральной службы судебных приставов по Республике Саха (Якутия) направлено ходатайство о рассмотрении вопроса о возбуждении уголовного дела по ст. 315 УК РФ.</w:t>
            </w:r>
          </w:p>
          <w:p w:rsidR="00587EA3" w:rsidRPr="00043AF9" w:rsidRDefault="00587EA3" w:rsidP="00587EA3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6A6E82">
              <w:rPr>
                <w:bCs/>
                <w:color w:val="FF0000"/>
                <w:sz w:val="20"/>
                <w:szCs w:val="20"/>
              </w:rPr>
              <w:t xml:space="preserve">В адрес Управления Федеральной службы судебных приставов по Республике Саха (Якутия) направлена </w:t>
            </w:r>
            <w:r w:rsidRPr="006A6E82">
              <w:rPr>
                <w:bCs/>
                <w:color w:val="FF0000"/>
                <w:sz w:val="20"/>
                <w:szCs w:val="20"/>
              </w:rPr>
              <w:lastRenderedPageBreak/>
              <w:t>жалоба в отношении Мирнинского районного отдела судебных приставов Управления Федеральной службы судебных приставов по Республике Саха (Якутия) в части бездействия в рамках исполнительного производства.</w:t>
            </w:r>
          </w:p>
        </w:tc>
      </w:tr>
      <w:tr w:rsidR="00671D54" w:rsidRPr="00A96827" w:rsidTr="00F929B2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54" w:rsidRDefault="00F929B2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71D54">
              <w:rPr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Pr="002B25E5" w:rsidRDefault="00671D54" w:rsidP="00671D54">
            <w:pPr>
              <w:jc w:val="both"/>
              <w:rPr>
                <w:sz w:val="20"/>
                <w:szCs w:val="20"/>
              </w:rPr>
            </w:pPr>
            <w:r w:rsidRPr="002B25E5">
              <w:rPr>
                <w:bCs/>
                <w:sz w:val="20"/>
                <w:szCs w:val="20"/>
              </w:rPr>
              <w:t xml:space="preserve">Решение </w:t>
            </w:r>
            <w:r w:rsidRPr="002B25E5">
              <w:rPr>
                <w:bCs/>
                <w:sz w:val="20"/>
                <w:szCs w:val="20"/>
                <w:lang w:val="en-US"/>
              </w:rPr>
              <w:t>LXXIII</w:t>
            </w:r>
            <w:r w:rsidRPr="002B25E5">
              <w:rPr>
                <w:bCs/>
                <w:sz w:val="20"/>
                <w:szCs w:val="20"/>
              </w:rPr>
              <w:t xml:space="preserve"> сессии ПС от 23 марта 2022 года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25E5">
              <w:rPr>
                <w:sz w:val="20"/>
                <w:szCs w:val="20"/>
                <w:lang w:val="en-US"/>
              </w:rPr>
              <w:t>IV</w:t>
            </w:r>
            <w:r w:rsidRPr="002B25E5">
              <w:rPr>
                <w:sz w:val="20"/>
                <w:szCs w:val="20"/>
              </w:rPr>
              <w:t>-№ 73-25 «</w:t>
            </w:r>
            <w:r w:rsidRPr="002B25E5">
              <w:rPr>
                <w:bCs/>
                <w:sz w:val="20"/>
                <w:szCs w:val="20"/>
              </w:rPr>
              <w:t>О содержании дороги по ул. Солнечная – ул. Гагарина и придомовых территорий многоквартирных домов по ул. Гагарина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Pr="002B25E5" w:rsidRDefault="00671D54" w:rsidP="00671D54">
            <w:pPr>
              <w:numPr>
                <w:ilvl w:val="0"/>
                <w:numId w:val="24"/>
              </w:numPr>
              <w:ind w:left="0" w:firstLine="168"/>
              <w:jc w:val="both"/>
              <w:rPr>
                <w:iCs/>
                <w:sz w:val="20"/>
                <w:szCs w:val="20"/>
              </w:rPr>
            </w:pPr>
            <w:r w:rsidRPr="002B25E5">
              <w:rPr>
                <w:iCs/>
                <w:sz w:val="20"/>
                <w:szCs w:val="20"/>
              </w:rPr>
              <w:t>Управляющей компании МУП «АПЖХ» предоставить в адрес поселкового Совета депутатов график и периодичность зачистки придомовой территории жилого фонда.</w:t>
            </w:r>
          </w:p>
          <w:p w:rsidR="00671D54" w:rsidRPr="002B25E5" w:rsidRDefault="00671D54" w:rsidP="00671D54">
            <w:pPr>
              <w:pStyle w:val="a4"/>
              <w:ind w:firstLine="168"/>
              <w:jc w:val="both"/>
              <w:rPr>
                <w:b w:val="0"/>
                <w:bCs/>
                <w:sz w:val="20"/>
              </w:rPr>
            </w:pPr>
            <w:r w:rsidRPr="002B25E5">
              <w:rPr>
                <w:b w:val="0"/>
                <w:sz w:val="20"/>
              </w:rPr>
              <w:t>3.</w:t>
            </w:r>
            <w:r w:rsidRPr="002B25E5">
              <w:rPr>
                <w:b w:val="0"/>
                <w:sz w:val="20"/>
              </w:rPr>
              <w:tab/>
              <w:t>Поселковой администрации усилить контроль за исполнением муниципального контракта по содержанию автомобильных дорог.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671D54" w:rsidRDefault="00671D54" w:rsidP="00671D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1D54" w:rsidRPr="002B25E5" w:rsidRDefault="00671D54" w:rsidP="00671D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</w:tcPr>
          <w:p w:rsidR="00671D54" w:rsidRPr="002B25E5" w:rsidRDefault="00671D54" w:rsidP="00671D54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6A6E82">
              <w:rPr>
                <w:rFonts w:eastAsiaTheme="minorHAnsi" w:cs="Calibri"/>
                <w:bCs/>
                <w:color w:val="FF0000"/>
                <w:sz w:val="20"/>
                <w:szCs w:val="20"/>
                <w:lang w:eastAsia="en-US"/>
              </w:rPr>
              <w:t>График предоставлен.</w:t>
            </w:r>
          </w:p>
        </w:tc>
      </w:tr>
      <w:tr w:rsidR="00F929B2" w:rsidRPr="00A96827" w:rsidTr="00B834D1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2" w:rsidRDefault="00F929B2" w:rsidP="00F9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2" w:rsidRPr="00362AFD" w:rsidRDefault="00F929B2" w:rsidP="00F929B2">
            <w:pPr>
              <w:jc w:val="both"/>
              <w:rPr>
                <w:bCs/>
                <w:sz w:val="20"/>
                <w:szCs w:val="20"/>
              </w:rPr>
            </w:pPr>
            <w:r w:rsidRPr="00362AFD">
              <w:rPr>
                <w:bCs/>
                <w:sz w:val="20"/>
                <w:szCs w:val="20"/>
              </w:rPr>
              <w:t xml:space="preserve">Решение </w:t>
            </w:r>
            <w:r w:rsidRPr="00362AFD">
              <w:rPr>
                <w:bCs/>
                <w:sz w:val="20"/>
                <w:szCs w:val="20"/>
                <w:lang w:val="en-US"/>
              </w:rPr>
              <w:t>LXXIII</w:t>
            </w:r>
            <w:r w:rsidRPr="00362AFD">
              <w:rPr>
                <w:bCs/>
                <w:sz w:val="20"/>
                <w:szCs w:val="20"/>
              </w:rPr>
              <w:t xml:space="preserve"> сессии ПС от 23 марта 2022 года </w:t>
            </w:r>
            <w:r w:rsidRPr="00362AFD">
              <w:rPr>
                <w:sz w:val="20"/>
                <w:szCs w:val="20"/>
                <w:lang w:val="en-US"/>
              </w:rPr>
              <w:t>IV</w:t>
            </w:r>
            <w:r w:rsidRPr="00362AFD">
              <w:rPr>
                <w:sz w:val="20"/>
                <w:szCs w:val="20"/>
              </w:rPr>
              <w:t>-№ 73-26 «О рассмотрении устного обращения организационного комитета по проведению соревнований по вольной борьбе о проведении оплаты питания участников соревнований»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2" w:rsidRPr="00362AFD" w:rsidRDefault="00F929B2" w:rsidP="00F929B2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362AFD">
              <w:rPr>
                <w:sz w:val="20"/>
                <w:szCs w:val="20"/>
              </w:rPr>
              <w:t>Поселковой администрации произвести оплату питания участников соревнований по вольной борьбе в рамках действующего законодательства.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2" w:rsidRPr="00AF5C71" w:rsidRDefault="00F929B2" w:rsidP="00F929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2" w:rsidRPr="006A6E82" w:rsidRDefault="00F929B2" w:rsidP="00F929B2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2B25E5">
        <w:rPr>
          <w:szCs w:val="18"/>
        </w:rPr>
        <w:t>14 апреля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2B25E5">
        <w:rPr>
          <w:bCs/>
          <w:szCs w:val="18"/>
        </w:rPr>
        <w:t>4</w:t>
      </w:r>
      <w:r w:rsidR="00587EA3">
        <w:rPr>
          <w:bCs/>
          <w:szCs w:val="18"/>
        </w:rPr>
        <w:t>-4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923"/>
        <w:gridCol w:w="3070"/>
        <w:gridCol w:w="1490"/>
        <w:gridCol w:w="2141"/>
        <w:gridCol w:w="4658"/>
      </w:tblGrid>
      <w:tr w:rsidR="00B24557" w:rsidRPr="003B58D4" w:rsidTr="00787CC8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B24557" w:rsidRPr="003B58D4" w:rsidTr="00787CC8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557" w:rsidRPr="003B58D4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асфальтирование дорог по улицам от Промышленной до Алмазной д.8, от Храма до АСМТ, Попугаевой и Советская д.13 подъем.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</w:p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0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DA570B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>ТЗ подготовлено, денежные средства будут заложены в бюджет по поселка на 2022 год (Г.Ш. Петровская).</w:t>
            </w: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Подготовлено ТЗ на асфальтирование придомовой территории по ул. Юбилейная д.7.</w:t>
            </w:r>
          </w:p>
          <w:p w:rsidR="00DA570B" w:rsidRDefault="00DA570B" w:rsidP="00DA570B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 работе ТЗ по асфальтированию дороги от ул. Промышленная до ул. Спортивная (АОП), от   </w:t>
            </w:r>
            <w:r w:rsidRPr="003B58D4">
              <w:rPr>
                <w:color w:val="000000"/>
                <w:sz w:val="20"/>
                <w:szCs w:val="20"/>
              </w:rPr>
              <w:t xml:space="preserve">Храма до АСМТ, </w:t>
            </w:r>
            <w:r>
              <w:rPr>
                <w:color w:val="000000"/>
                <w:sz w:val="20"/>
                <w:szCs w:val="20"/>
              </w:rPr>
              <w:t xml:space="preserve">участки дорог по ул. </w:t>
            </w:r>
            <w:r w:rsidRPr="003B58D4">
              <w:rPr>
                <w:color w:val="000000"/>
                <w:sz w:val="20"/>
                <w:szCs w:val="20"/>
              </w:rPr>
              <w:t xml:space="preserve">Попугаевой и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3B58D4">
              <w:rPr>
                <w:color w:val="000000"/>
                <w:sz w:val="20"/>
                <w:szCs w:val="20"/>
              </w:rPr>
              <w:t>Советская д.13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B58D4">
              <w:rPr>
                <w:color w:val="000000"/>
                <w:sz w:val="20"/>
                <w:szCs w:val="20"/>
              </w:rPr>
              <w:t>подъем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B58D4">
              <w:rPr>
                <w:color w:val="000000"/>
                <w:sz w:val="20"/>
                <w:szCs w:val="20"/>
              </w:rPr>
              <w:t>.</w:t>
            </w:r>
          </w:p>
          <w:p w:rsidR="00DA570B" w:rsidRPr="00EA4751" w:rsidRDefault="00E056A2" w:rsidP="00DA570B">
            <w:pPr>
              <w:ind w:firstLine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сообщаем, в н</w:t>
            </w:r>
            <w:r w:rsidR="00DA570B" w:rsidRPr="00EA4751">
              <w:rPr>
                <w:sz w:val="20"/>
                <w:szCs w:val="20"/>
              </w:rPr>
              <w:t>оябре 2021</w:t>
            </w:r>
            <w:r>
              <w:rPr>
                <w:sz w:val="20"/>
                <w:szCs w:val="20"/>
              </w:rPr>
              <w:t xml:space="preserve"> </w:t>
            </w:r>
            <w:r w:rsidR="00DA570B" w:rsidRPr="00EA4751">
              <w:rPr>
                <w:sz w:val="20"/>
                <w:szCs w:val="20"/>
              </w:rPr>
              <w:t>г была сформирована заявка в Министерство транспорта и дорожного хозяйства Республики Саха (Якутия) на асфальтирование ул. Юбилейна</w:t>
            </w:r>
            <w:r w:rsidR="00DA570B">
              <w:rPr>
                <w:sz w:val="20"/>
                <w:szCs w:val="20"/>
              </w:rPr>
              <w:t>я с придомовыми территориями. Ответ получен отрицательный.</w:t>
            </w:r>
          </w:p>
          <w:p w:rsidR="00DA570B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Направлены запросы о предоставлении коммерческих предложений на поставку светодиодных пешеходных пешеходов. Дополнительно запрошены коммерческие предложения на поставку и установку светодиодных пешеходных переходов.</w:t>
            </w:r>
          </w:p>
          <w:p w:rsidR="00DA570B" w:rsidRPr="00BA06D3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E538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Стрельникова,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Молодежная и ул. Таежная. Подготовлены дефектные ведомости на установку комплексов, укладку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и устройства ограждения. На данный момент ведется работа по подготовке сметной документации.</w:t>
            </w:r>
          </w:p>
        </w:tc>
      </w:tr>
      <w:tr w:rsidR="00B24557" w:rsidRPr="003B58D4" w:rsidTr="00787CC8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 xml:space="preserve">«О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B24557" w:rsidRPr="00AF5C71" w:rsidTr="00787CC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4557" w:rsidRPr="00AF5C71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LXIX</w:t>
            </w:r>
            <w:r w:rsidRPr="00AF5C71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ул. Энтузиастов от МКД № 2 к МКД №№ 1 и 3 со сроками реализации в 2022-2023 г.г.</w:t>
            </w:r>
          </w:p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Поселковой администрации предоставить примерную стоимость работ и предложения по решению вопроса, в том числе по вариантам: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</w:r>
            <w:r w:rsidRPr="00AF5C7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 xml:space="preserve">организация перехода </w:t>
            </w:r>
            <w:r w:rsidRPr="00AF5C71">
              <w:rPr>
                <w:sz w:val="20"/>
                <w:szCs w:val="20"/>
              </w:rPr>
              <w:lastRenderedPageBreak/>
              <w:t>через Парк имени первооткрывателя-каюра Николая Алексеева.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было предложено 2 варианта.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1. от МКД №1 и 3 к МКД №2 по ул. Энтузиастов, сделать односторонние движение, учесть ширину тротуара, установить ограждение по левой стороне.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2. В рамках разработке проекта «Мини парк»</w:t>
            </w:r>
          </w:p>
          <w:p w:rsidR="00B24557" w:rsidRPr="00DA570B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  <w:p w:rsidR="00B24557" w:rsidRPr="00DA570B" w:rsidRDefault="00DA570B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На 21.03.2022:</w:t>
            </w: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B24557"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При разработке Подрядчиком ПОДД будут рассматриваться все возможные варианты согласно законодательству, об </w:t>
            </w:r>
            <w:r w:rsidR="00B24557" w:rsidRPr="00DA570B">
              <w:rPr>
                <w:sz w:val="20"/>
                <w:szCs w:val="20"/>
              </w:rPr>
              <w:t>обустройстве тротуара по ул. Энтузиастов от МКД № 1 и 3 к МКД №2.</w:t>
            </w:r>
          </w:p>
          <w:p w:rsidR="00DA570B" w:rsidRPr="00AF5C71" w:rsidRDefault="00B24557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Было разработано Техническое задание на ПОДД, было собранно коммерческие предложения, средняя сумма составила 601 833,33 руб., так же написана служебная записка на изменение в бюджете.</w:t>
            </w:r>
          </w:p>
        </w:tc>
      </w:tr>
      <w:tr w:rsidR="00B24557" w:rsidRPr="00060272" w:rsidTr="00787CC8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060272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36113">
              <w:rPr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557">
              <w:rPr>
                <w:sz w:val="20"/>
              </w:rPr>
              <w:t xml:space="preserve">Решение расширенной комиссии от 09.03.2022 </w:t>
            </w:r>
            <w:r w:rsidRPr="00B24557">
              <w:rPr>
                <w:bCs/>
                <w:sz w:val="20"/>
              </w:rPr>
              <w:t xml:space="preserve">№ </w:t>
            </w:r>
            <w:r w:rsidRPr="00B24557">
              <w:rPr>
                <w:sz w:val="20"/>
                <w:lang w:val="en-US"/>
              </w:rPr>
              <w:t>IV</w:t>
            </w:r>
            <w:r w:rsidRPr="00B24557">
              <w:rPr>
                <w:sz w:val="20"/>
              </w:rPr>
              <w:t>-15-18 «Об организации остановочного пункта «Магазин «Айхал» по ул. Советская»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>Рекомендовать поселковой администрации:</w:t>
            </w:r>
          </w:p>
          <w:p w:rsidR="00B24557" w:rsidRPr="00B24557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 xml:space="preserve">усилить контроль за содержанием остановочного пункта </w:t>
            </w:r>
            <w:r w:rsidRPr="00B24557">
              <w:rPr>
                <w:sz w:val="20"/>
              </w:rPr>
              <w:t>«Магазин «Айхал» по ул. Советская;</w:t>
            </w:r>
          </w:p>
          <w:p w:rsidR="00B24557" w:rsidRPr="00607D31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sz w:val="20"/>
                <w:szCs w:val="20"/>
              </w:rPr>
            </w:pPr>
            <w:r w:rsidRPr="00B24557">
              <w:rPr>
                <w:bCs/>
                <w:sz w:val="20"/>
              </w:rPr>
              <w:t xml:space="preserve">рассмотреть варианты обустройства </w:t>
            </w:r>
            <w:r w:rsidRPr="00B24557">
              <w:rPr>
                <w:sz w:val="20"/>
              </w:rPr>
              <w:t>остановочного пункта «Магазин «Айхал» по ул. Советская в летний период.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2B25E5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5" w:rsidRPr="00AF5C71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CC2285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557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060272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3455DB" w:rsidRPr="001945A5" w:rsidTr="00671D54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671D54" w:rsidP="00F92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jc w:val="both"/>
              <w:rPr>
                <w:bCs/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 xml:space="preserve">Поручение </w:t>
            </w:r>
            <w:r w:rsidRPr="001945A5">
              <w:rPr>
                <w:sz w:val="20"/>
                <w:szCs w:val="20"/>
                <w:lang w:val="en-US"/>
              </w:rPr>
              <w:t>LIV</w:t>
            </w:r>
            <w:r w:rsidRPr="001945A5">
              <w:rPr>
                <w:sz w:val="20"/>
                <w:szCs w:val="20"/>
              </w:rPr>
              <w:t xml:space="preserve"> Президиума от 14.04.2022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ind w:firstLine="259"/>
              <w:jc w:val="both"/>
              <w:rPr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>Администрации поселка совместно с МУП «АПЖ</w:t>
            </w:r>
            <w:r w:rsidR="001945A5">
              <w:rPr>
                <w:sz w:val="20"/>
                <w:szCs w:val="20"/>
              </w:rPr>
              <w:t>Х</w:t>
            </w:r>
            <w:r w:rsidRPr="001945A5">
              <w:rPr>
                <w:sz w:val="20"/>
                <w:szCs w:val="20"/>
              </w:rPr>
              <w:t>» провести комиссионное обследование кровли МКД № 4а по ул. Алмазная.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34" w:rsidRDefault="000E5B34" w:rsidP="00496BDC">
      <w:r>
        <w:separator/>
      </w:r>
    </w:p>
  </w:endnote>
  <w:endnote w:type="continuationSeparator" w:id="0">
    <w:p w:rsidR="000E5B34" w:rsidRDefault="000E5B34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34" w:rsidRDefault="000E5B34" w:rsidP="00496BDC">
      <w:r>
        <w:separator/>
      </w:r>
    </w:p>
  </w:footnote>
  <w:footnote w:type="continuationSeparator" w:id="0">
    <w:p w:rsidR="000E5B34" w:rsidRDefault="000E5B34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F4329F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F207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52CB"/>
    <w:rsid w:val="00085BDA"/>
    <w:rsid w:val="00086178"/>
    <w:rsid w:val="000B1B99"/>
    <w:rsid w:val="000B4021"/>
    <w:rsid w:val="000D1D1B"/>
    <w:rsid w:val="000E5B34"/>
    <w:rsid w:val="000F181D"/>
    <w:rsid w:val="000F6E46"/>
    <w:rsid w:val="00111BEA"/>
    <w:rsid w:val="0014679D"/>
    <w:rsid w:val="00167426"/>
    <w:rsid w:val="00177B44"/>
    <w:rsid w:val="001815C7"/>
    <w:rsid w:val="001945A5"/>
    <w:rsid w:val="001A0F7A"/>
    <w:rsid w:val="001A46BC"/>
    <w:rsid w:val="001A6DC4"/>
    <w:rsid w:val="001D37C1"/>
    <w:rsid w:val="00205CB8"/>
    <w:rsid w:val="002104EC"/>
    <w:rsid w:val="002131F4"/>
    <w:rsid w:val="002230A1"/>
    <w:rsid w:val="00235E46"/>
    <w:rsid w:val="00270CAF"/>
    <w:rsid w:val="00272CD8"/>
    <w:rsid w:val="00274672"/>
    <w:rsid w:val="00281328"/>
    <w:rsid w:val="00281FB8"/>
    <w:rsid w:val="00286A8A"/>
    <w:rsid w:val="00290421"/>
    <w:rsid w:val="002B115E"/>
    <w:rsid w:val="002B19B8"/>
    <w:rsid w:val="002B25E5"/>
    <w:rsid w:val="002C7593"/>
    <w:rsid w:val="002E2245"/>
    <w:rsid w:val="002E3F54"/>
    <w:rsid w:val="002E559E"/>
    <w:rsid w:val="002F77A0"/>
    <w:rsid w:val="003129F4"/>
    <w:rsid w:val="00312CFB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3149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625D"/>
    <w:rsid w:val="005476D8"/>
    <w:rsid w:val="005523A6"/>
    <w:rsid w:val="00556489"/>
    <w:rsid w:val="00567046"/>
    <w:rsid w:val="00571F53"/>
    <w:rsid w:val="00577AFD"/>
    <w:rsid w:val="005867DE"/>
    <w:rsid w:val="00587A25"/>
    <w:rsid w:val="00587EA3"/>
    <w:rsid w:val="005B481E"/>
    <w:rsid w:val="005C38A5"/>
    <w:rsid w:val="005C5D4F"/>
    <w:rsid w:val="005D60F2"/>
    <w:rsid w:val="005F3E30"/>
    <w:rsid w:val="00607D31"/>
    <w:rsid w:val="00616A7C"/>
    <w:rsid w:val="00636113"/>
    <w:rsid w:val="006608E1"/>
    <w:rsid w:val="00671D54"/>
    <w:rsid w:val="0068108F"/>
    <w:rsid w:val="006B3EDE"/>
    <w:rsid w:val="006C3DB7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252F7"/>
    <w:rsid w:val="009319AA"/>
    <w:rsid w:val="00933F97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D5FB9"/>
    <w:rsid w:val="009F6311"/>
    <w:rsid w:val="00A169BF"/>
    <w:rsid w:val="00A2308F"/>
    <w:rsid w:val="00A30C23"/>
    <w:rsid w:val="00A36C30"/>
    <w:rsid w:val="00A41181"/>
    <w:rsid w:val="00A856B8"/>
    <w:rsid w:val="00A96827"/>
    <w:rsid w:val="00A9776A"/>
    <w:rsid w:val="00A978F5"/>
    <w:rsid w:val="00AE538B"/>
    <w:rsid w:val="00AF01A7"/>
    <w:rsid w:val="00AF349B"/>
    <w:rsid w:val="00B15748"/>
    <w:rsid w:val="00B24557"/>
    <w:rsid w:val="00B2509E"/>
    <w:rsid w:val="00B469AA"/>
    <w:rsid w:val="00B50696"/>
    <w:rsid w:val="00BA2353"/>
    <w:rsid w:val="00BB17B7"/>
    <w:rsid w:val="00BE3502"/>
    <w:rsid w:val="00BE57D0"/>
    <w:rsid w:val="00C0073E"/>
    <w:rsid w:val="00C03139"/>
    <w:rsid w:val="00C03561"/>
    <w:rsid w:val="00C356CF"/>
    <w:rsid w:val="00C44114"/>
    <w:rsid w:val="00C96DDA"/>
    <w:rsid w:val="00CC2285"/>
    <w:rsid w:val="00CC2B95"/>
    <w:rsid w:val="00CC5211"/>
    <w:rsid w:val="00D32636"/>
    <w:rsid w:val="00D32F5F"/>
    <w:rsid w:val="00D37373"/>
    <w:rsid w:val="00D43E40"/>
    <w:rsid w:val="00D50E06"/>
    <w:rsid w:val="00D608CB"/>
    <w:rsid w:val="00D72F6C"/>
    <w:rsid w:val="00D7438F"/>
    <w:rsid w:val="00D8695A"/>
    <w:rsid w:val="00D942B3"/>
    <w:rsid w:val="00DA570B"/>
    <w:rsid w:val="00DB4B58"/>
    <w:rsid w:val="00DC033D"/>
    <w:rsid w:val="00DD112C"/>
    <w:rsid w:val="00DD447E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F2070F"/>
    <w:rsid w:val="00F244F7"/>
    <w:rsid w:val="00F30135"/>
    <w:rsid w:val="00F4329F"/>
    <w:rsid w:val="00F503A1"/>
    <w:rsid w:val="00F5702F"/>
    <w:rsid w:val="00F67857"/>
    <w:rsid w:val="00F71917"/>
    <w:rsid w:val="00F8634F"/>
    <w:rsid w:val="00F87490"/>
    <w:rsid w:val="00F929B2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</dc:creator>
  <cp:lastModifiedBy>Еремина</cp:lastModifiedBy>
  <cp:revision>81</cp:revision>
  <cp:lastPrinted>2021-10-17T23:49:00Z</cp:lastPrinted>
  <dcterms:created xsi:type="dcterms:W3CDTF">2021-10-14T05:24:00Z</dcterms:created>
  <dcterms:modified xsi:type="dcterms:W3CDTF">2022-07-27T07:10:00Z</dcterms:modified>
</cp:coreProperties>
</file>