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2C" w:rsidRDefault="00072B2C" w:rsidP="00072B2C">
      <w:pPr>
        <w:jc w:val="center"/>
        <w:rPr>
          <w:b/>
          <w:color w:val="auto"/>
          <w:sz w:val="24"/>
          <w:szCs w:val="24"/>
        </w:rPr>
      </w:pPr>
      <w:r w:rsidRPr="00072B2C">
        <w:rPr>
          <w:b/>
          <w:color w:val="auto"/>
          <w:sz w:val="24"/>
          <w:szCs w:val="24"/>
        </w:rPr>
        <w:t>Требование к приобретаемому Администрацией МО «Поселок Айхал» жилому помещению</w:t>
      </w:r>
      <w:r w:rsidR="00A74094">
        <w:rPr>
          <w:b/>
          <w:color w:val="auto"/>
          <w:sz w:val="24"/>
          <w:szCs w:val="24"/>
        </w:rPr>
        <w:t xml:space="preserve"> в рамках реализации </w:t>
      </w:r>
      <w:r w:rsidR="002A227C">
        <w:rPr>
          <w:b/>
          <w:color w:val="auto"/>
          <w:sz w:val="24"/>
          <w:szCs w:val="24"/>
        </w:rPr>
        <w:t>муниципальной адресной программы «Переселение граждан из аварийного жилищного фонда п. Дорожный и ул. Октябрьская партия муниципального образования «Поселок Айхал» на 2021-2022 годы».</w:t>
      </w:r>
      <w:r w:rsidRPr="00072B2C">
        <w:rPr>
          <w:b/>
          <w:color w:val="auto"/>
          <w:sz w:val="24"/>
          <w:szCs w:val="24"/>
        </w:rPr>
        <w:t xml:space="preserve"> </w:t>
      </w:r>
    </w:p>
    <w:p w:rsidR="00A74094" w:rsidRPr="00072B2C" w:rsidRDefault="00A74094" w:rsidP="00072B2C">
      <w:pPr>
        <w:jc w:val="center"/>
        <w:rPr>
          <w:b/>
          <w:color w:val="auto"/>
          <w:sz w:val="24"/>
          <w:szCs w:val="24"/>
        </w:rPr>
      </w:pPr>
    </w:p>
    <w:p w:rsidR="00072B2C" w:rsidRDefault="00072B2C" w:rsidP="00072B2C">
      <w:pPr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66"/>
        <w:gridCol w:w="2400"/>
        <w:gridCol w:w="1163"/>
        <w:gridCol w:w="1187"/>
        <w:gridCol w:w="1082"/>
        <w:gridCol w:w="2381"/>
        <w:gridCol w:w="1448"/>
        <w:gridCol w:w="1460"/>
        <w:gridCol w:w="895"/>
        <w:gridCol w:w="1013"/>
        <w:gridCol w:w="965"/>
      </w:tblGrid>
      <w:tr w:rsidR="000842ED" w:rsidTr="00F20412">
        <w:trPr>
          <w:cantSplit/>
          <w:trHeight w:val="20"/>
          <w:tblHeader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bCs/>
                <w:color w:val="auto"/>
                <w:sz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lang w:eastAsia="en-US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Наименование товара и/или наименование характеристика товара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Минимальное значение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Максимальное значение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Значение по позиции КТРУ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Значение на выбор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 xml:space="preserve">Единица измерения значения характеристики </w:t>
            </w:r>
            <w:r>
              <w:rPr>
                <w:rFonts w:eastAsia="Calibri"/>
                <w:i/>
                <w:color w:val="auto"/>
                <w:sz w:val="16"/>
              </w:rPr>
              <w:t>(согласно ГОСТ 8.417-2002 или ОКЕИ)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 xml:space="preserve">ГОСТ, регламент, стандарт или обоснование их </w:t>
            </w:r>
            <w:proofErr w:type="gramStart"/>
            <w:r>
              <w:rPr>
                <w:rFonts w:eastAsia="Calibri"/>
                <w:color w:val="auto"/>
                <w:sz w:val="16"/>
              </w:rPr>
              <w:t xml:space="preserve">не применения </w:t>
            </w:r>
            <w:proofErr w:type="gramEnd"/>
            <w:r>
              <w:rPr>
                <w:rFonts w:eastAsia="Calibri"/>
                <w:i/>
                <w:color w:val="auto"/>
                <w:sz w:val="16"/>
              </w:rPr>
              <w:t>(п. 2 ч. 1 ст. 33 Закона №44-ФЗ)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Единица измерения товара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Количество товара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suppressLineNumbers/>
              <w:suppressAutoHyphens/>
              <w:jc w:val="center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Код позиции КТРУ</w:t>
            </w: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Жилые помещения (квартиры)</w:t>
            </w:r>
          </w:p>
          <w:p w:rsidR="00072B2C" w:rsidRDefault="00072B2C">
            <w:pPr>
              <w:widowControl w:val="0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На территории п. Айхал, Мирнинского района Республики Саха (Якутия)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val="en-US"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val="en-US"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Год постройки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235C11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  <w:r w:rsidRPr="00E930B4">
              <w:rPr>
                <w:rFonts w:eastAsia="Calibri"/>
                <w:color w:val="auto"/>
                <w:sz w:val="16"/>
                <w:lang w:eastAsia="en-US"/>
              </w:rPr>
              <w:t>1986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год</w:t>
            </w:r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232C68">
        <w:trPr>
          <w:cantSplit/>
          <w:trHeight w:val="39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Общая площадь жилых помещений (квартир)</w:t>
            </w:r>
            <w:r>
              <w:rPr>
                <w:rStyle w:val="a7"/>
                <w:rFonts w:eastAsia="Calibri"/>
                <w:color w:val="auto"/>
                <w:sz w:val="16"/>
                <w:lang w:eastAsia="en-US"/>
              </w:rPr>
              <w:footnoteReference w:id="1"/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Pr="00EE55EA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highlight w:val="yellow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Pr="00EE55EA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highlight w:val="yellow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vertAlign w:val="superscript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22"/>
                <w:vertAlign w:val="superscript"/>
                <w:lang w:eastAsia="en-US"/>
              </w:rPr>
              <w:t>м</w:t>
            </w:r>
            <w:proofErr w:type="gramEnd"/>
            <w:r>
              <w:rPr>
                <w:rFonts w:eastAsia="Calibri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232C68">
        <w:trPr>
          <w:cantSplit/>
          <w:trHeight w:val="39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Количество комнат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val="en-US"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22"/>
                <w:vertAlign w:val="superscript"/>
                <w:lang w:eastAsia="en-US"/>
              </w:rPr>
            </w:pPr>
            <w:r>
              <w:rPr>
                <w:rFonts w:eastAsia="Calibri"/>
                <w:color w:val="auto"/>
                <w:sz w:val="22"/>
                <w:vertAlign w:val="superscript"/>
                <w:lang w:eastAsia="en-US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Высота помещений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2,5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м</w:t>
            </w:r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Помещения вспомогательного использования в жилом помещении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Кухня, туалет, ванная комната</w:t>
            </w:r>
          </w:p>
          <w:p w:rsidR="00072B2C" w:rsidRDefault="00072B2C" w:rsidP="00F6129A">
            <w:pPr>
              <w:widowControl w:val="0"/>
              <w:overflowPunct w:val="0"/>
              <w:rPr>
                <w:color w:val="auto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или</w:t>
            </w:r>
            <w:proofErr w:type="gram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к</w:t>
            </w:r>
            <w:bookmarkStart w:id="0" w:name="_GoBack"/>
            <w:bookmarkEnd w:id="0"/>
            <w:r>
              <w:rPr>
                <w:rFonts w:eastAsia="Calibri"/>
                <w:color w:val="auto"/>
                <w:sz w:val="16"/>
                <w:lang w:eastAsia="en-US"/>
              </w:rPr>
              <w:t>ухня и совмещенный санузел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Оснащение кухни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</w:rPr>
              <w:t>Сантехника кухни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</w:rPr>
              <w:t>Мойка со смесителем и сифоном или раковина</w:t>
            </w:r>
            <w:r>
              <w:rPr>
                <w:rFonts w:eastAsia="Calibri"/>
                <w:color w:val="auto"/>
                <w:sz w:val="16"/>
                <w:lang w:eastAsia="en-US"/>
              </w:rPr>
              <w:t xml:space="preserve"> со смесителем и сифоном</w:t>
            </w:r>
            <w:r w:rsidR="00E930B4">
              <w:rPr>
                <w:rFonts w:eastAsia="Calibri"/>
                <w:color w:val="auto"/>
                <w:sz w:val="16"/>
                <w:lang w:eastAsia="en-US"/>
              </w:rPr>
              <w:t>, без внешних повреждений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</w:rPr>
            </w:pPr>
            <w:r>
              <w:rPr>
                <w:rFonts w:eastAsia="Calibri"/>
                <w:color w:val="auto"/>
                <w:sz w:val="16"/>
              </w:rPr>
              <w:t>Оборудование кухни в рабочем состоянии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 w:rsidP="00F6129A">
            <w:pPr>
              <w:widowControl w:val="0"/>
              <w:overflowPunct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</w:rPr>
              <w:t>Стационарная кухонная электрическая плита с духовым шкафом или</w:t>
            </w:r>
            <w:r w:rsidR="00F6129A">
              <w:rPr>
                <w:rFonts w:eastAsia="Calibri"/>
                <w:color w:val="auto"/>
                <w:sz w:val="16"/>
              </w:rPr>
              <w:t xml:space="preserve"> </w:t>
            </w:r>
            <w:r>
              <w:rPr>
                <w:rFonts w:eastAsia="Calibri"/>
                <w:color w:val="auto"/>
                <w:sz w:val="16"/>
              </w:rPr>
              <w:t>встраиваемая электрическая плита и встраиваемый духовой шкаф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Оснащение ванной комнаты и туалета</w:t>
            </w:r>
            <w:r>
              <w:rPr>
                <w:rFonts w:eastAsia="Calibri"/>
                <w:color w:val="auto"/>
                <w:sz w:val="16"/>
              </w:rPr>
              <w:t xml:space="preserve"> в исправном состоянии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Pr="00232C68" w:rsidRDefault="00072B2C" w:rsidP="00232C68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Ванная</w:t>
            </w:r>
            <w:r w:rsidR="00232C68">
              <w:rPr>
                <w:rFonts w:eastAsia="Calibri"/>
                <w:color w:val="auto"/>
                <w:sz w:val="16"/>
                <w:lang w:eastAsia="en-US"/>
              </w:rPr>
              <w:t xml:space="preserve"> или душевая кабина</w:t>
            </w:r>
            <w:r>
              <w:rPr>
                <w:rFonts w:eastAsia="Calibri"/>
                <w:color w:val="auto"/>
                <w:sz w:val="16"/>
                <w:lang w:eastAsia="en-US"/>
              </w:rPr>
              <w:t>, умывальник со смесителем и сифоном, унитаз с сиденьем со смывным бачком</w:t>
            </w:r>
            <w:r w:rsidR="00E930B4">
              <w:rPr>
                <w:rFonts w:eastAsia="Calibri"/>
                <w:color w:val="auto"/>
                <w:sz w:val="16"/>
                <w:lang w:eastAsia="en-US"/>
              </w:rPr>
              <w:t>, без повреждений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Материал внутренних стен и перегородок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Железобетонные или кирпичные или блочные или комбинированные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Полы в: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Жилая комната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Линолеум или плитка или </w:t>
            </w:r>
            <w:proofErr w:type="spellStart"/>
            <w:r>
              <w:rPr>
                <w:rFonts w:eastAsia="Calibri"/>
                <w:color w:val="auto"/>
                <w:sz w:val="16"/>
                <w:lang w:eastAsia="en-US"/>
              </w:rPr>
              <w:t>ламинат</w:t>
            </w:r>
            <w:proofErr w:type="spell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или паркет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прихожая</w:t>
            </w:r>
            <w:proofErr w:type="gramEnd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Линолеум или плитка или </w:t>
            </w:r>
            <w:proofErr w:type="spellStart"/>
            <w:r>
              <w:rPr>
                <w:rFonts w:eastAsia="Calibri"/>
                <w:color w:val="auto"/>
                <w:sz w:val="16"/>
                <w:lang w:eastAsia="en-US"/>
              </w:rPr>
              <w:t>ламинат</w:t>
            </w:r>
            <w:proofErr w:type="spell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или паркет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коридор</w:t>
            </w:r>
            <w:proofErr w:type="gramEnd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Линолеум или плитка или </w:t>
            </w:r>
            <w:proofErr w:type="spellStart"/>
            <w:r>
              <w:rPr>
                <w:rFonts w:eastAsia="Calibri"/>
                <w:color w:val="auto"/>
                <w:sz w:val="16"/>
                <w:lang w:eastAsia="en-US"/>
              </w:rPr>
              <w:t>ламинат</w:t>
            </w:r>
            <w:proofErr w:type="spell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или паркет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кухня</w:t>
            </w:r>
            <w:proofErr w:type="gramEnd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Линолеум или плитка или </w:t>
            </w:r>
            <w:proofErr w:type="spellStart"/>
            <w:r>
              <w:rPr>
                <w:rFonts w:eastAsia="Calibri"/>
                <w:color w:val="auto"/>
                <w:sz w:val="16"/>
                <w:lang w:eastAsia="en-US"/>
              </w:rPr>
              <w:t>ламинат</w:t>
            </w:r>
            <w:proofErr w:type="spell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или паркет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ванная</w:t>
            </w:r>
            <w:proofErr w:type="gram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комната, санузел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Напольное покрытие из керамической плитки </w:t>
            </w:r>
          </w:p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или</w:t>
            </w:r>
            <w:proofErr w:type="gram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16"/>
                <w:lang w:eastAsia="en-US"/>
              </w:rPr>
              <w:t>керамогранита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Потолки в: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Жилая комната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Покраска или потолочные плиты или натяжной потолок или </w:t>
            </w:r>
            <w:proofErr w:type="spellStart"/>
            <w:r>
              <w:rPr>
                <w:color w:val="auto"/>
                <w:sz w:val="16"/>
              </w:rPr>
              <w:t>гипсокартон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Прихожая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Покраска или потолочные плиты или натяжной потолок или </w:t>
            </w:r>
            <w:proofErr w:type="spellStart"/>
            <w:r>
              <w:rPr>
                <w:color w:val="auto"/>
                <w:sz w:val="16"/>
              </w:rPr>
              <w:t>гипсокартон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Коридор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Покраска или потолочные плиты или натяжной потолок или </w:t>
            </w:r>
            <w:proofErr w:type="spellStart"/>
            <w:r>
              <w:rPr>
                <w:color w:val="auto"/>
                <w:sz w:val="16"/>
              </w:rPr>
              <w:t>гипсокартон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Кухня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Покраска или потолочные плиты или натяжной потолок или </w:t>
            </w:r>
            <w:proofErr w:type="spellStart"/>
            <w:r>
              <w:rPr>
                <w:color w:val="auto"/>
                <w:sz w:val="16"/>
              </w:rPr>
              <w:t>гипсокартон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Ванная комната, санузел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Покраска или потолочные плиты или натяжной потолок или </w:t>
            </w:r>
            <w:proofErr w:type="spellStart"/>
            <w:r>
              <w:rPr>
                <w:color w:val="auto"/>
                <w:sz w:val="16"/>
              </w:rPr>
              <w:t>гипсокартон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Стены в: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Жилая комната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Обои или покраска</w:t>
            </w:r>
            <w:r w:rsidR="005A443D">
              <w:rPr>
                <w:color w:val="auto"/>
                <w:sz w:val="16"/>
              </w:rPr>
              <w:t xml:space="preserve">, </w:t>
            </w:r>
            <w:r w:rsidR="005A443D" w:rsidRPr="005A443D">
              <w:rPr>
                <w:color w:val="auto"/>
                <w:sz w:val="16"/>
              </w:rPr>
              <w:t>без повреждений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Прихожая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Обои или покраска</w:t>
            </w:r>
            <w:r w:rsidR="005A443D">
              <w:rPr>
                <w:color w:val="auto"/>
                <w:sz w:val="16"/>
              </w:rPr>
              <w:t>,</w:t>
            </w:r>
            <w:r w:rsidR="005A443D" w:rsidRPr="005A443D">
              <w:rPr>
                <w:color w:val="auto"/>
                <w:sz w:val="16"/>
              </w:rPr>
              <w:t xml:space="preserve"> </w:t>
            </w:r>
            <w:r w:rsidR="005A443D" w:rsidRPr="005A443D">
              <w:rPr>
                <w:color w:val="auto"/>
                <w:sz w:val="16"/>
              </w:rPr>
              <w:t>без повреждений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Коридор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5A443D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Обои или покраска,</w:t>
            </w:r>
            <w:r w:rsidRPr="005A443D">
              <w:rPr>
                <w:color w:val="auto"/>
                <w:sz w:val="16"/>
              </w:rPr>
              <w:t xml:space="preserve"> без повреждений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Кухня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5A443D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Обои или покраска,</w:t>
            </w:r>
            <w:r w:rsidRPr="005A443D">
              <w:rPr>
                <w:color w:val="auto"/>
                <w:sz w:val="16"/>
              </w:rPr>
              <w:t xml:space="preserve"> без повреждений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Ванная комната, санузел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C7094" w:rsidP="00A6287F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К</w:t>
            </w:r>
            <w:r w:rsidR="00072B2C">
              <w:rPr>
                <w:color w:val="auto"/>
                <w:sz w:val="16"/>
              </w:rPr>
              <w:t xml:space="preserve">ерамическая плитка </w:t>
            </w:r>
            <w:r w:rsidR="00072B2C">
              <w:rPr>
                <w:color w:val="auto"/>
                <w:sz w:val="16"/>
                <w:szCs w:val="16"/>
              </w:rPr>
              <w:t xml:space="preserve">стен </w:t>
            </w:r>
            <w:r w:rsidR="00A6287F">
              <w:rPr>
                <w:color w:val="auto"/>
                <w:sz w:val="16"/>
                <w:szCs w:val="16"/>
              </w:rPr>
              <w:t>или</w:t>
            </w:r>
            <w:r>
              <w:rPr>
                <w:color w:val="auto"/>
                <w:sz w:val="16"/>
                <w:szCs w:val="16"/>
              </w:rPr>
              <w:t xml:space="preserve"> панели</w:t>
            </w:r>
            <w:r w:rsidR="00A6287F">
              <w:rPr>
                <w:color w:val="auto"/>
                <w:sz w:val="16"/>
                <w:szCs w:val="16"/>
              </w:rPr>
              <w:t xml:space="preserve"> ПВХ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Отделка жилого помещения: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Окна со стеклопакетом, из морозостойких профилей с прозрачными стеклопакетами: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Оконные рамы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842ED" w:rsidP="000842ED">
            <w:pPr>
              <w:widowControl w:val="0"/>
              <w:overflowPunct w:val="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Д</w:t>
            </w:r>
            <w:r w:rsidRPr="000842ED">
              <w:rPr>
                <w:rFonts w:eastAsia="Calibri"/>
                <w:color w:val="auto"/>
                <w:sz w:val="16"/>
                <w:lang w:eastAsia="en-US"/>
              </w:rPr>
              <w:t>еревянные или пластиковые стеклопакеты, в рабочем состоянии, запорные элементы в ис</w:t>
            </w:r>
            <w:r>
              <w:rPr>
                <w:rFonts w:eastAsia="Calibri"/>
                <w:color w:val="auto"/>
                <w:sz w:val="16"/>
                <w:lang w:eastAsia="en-US"/>
              </w:rPr>
              <w:t>правном состоянии, стекла целые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Количество камер в стеклопакете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B745A6" w:rsidTr="00541960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5A6" w:rsidRPr="00541960" w:rsidRDefault="00B745A6" w:rsidP="00B745A6">
            <w:pPr>
              <w:pStyle w:val="a5"/>
              <w:widowControl w:val="0"/>
              <w:ind w:left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  <w:r w:rsidRPr="00541960">
              <w:rPr>
                <w:rFonts w:eastAsia="Calibri"/>
                <w:color w:val="auto"/>
                <w:sz w:val="16"/>
                <w:szCs w:val="20"/>
                <w:lang w:eastAsia="en-US"/>
              </w:rPr>
              <w:t>11.1.3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5A6" w:rsidRPr="00541960" w:rsidRDefault="00B745A6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 w:rsidRPr="00541960">
              <w:rPr>
                <w:rFonts w:eastAsia="Calibri"/>
                <w:color w:val="auto"/>
                <w:sz w:val="16"/>
                <w:lang w:eastAsia="en-US"/>
              </w:rPr>
              <w:t>Балкон, лоджия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Pr="00541960" w:rsidRDefault="00B745A6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Pr="00541960" w:rsidRDefault="00B745A6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Pr="00541960" w:rsidRDefault="00B745A6">
            <w:pPr>
              <w:widowControl w:val="0"/>
              <w:overflowPunct w:val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Pr="00541960" w:rsidRDefault="00B745A6" w:rsidP="00541960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r w:rsidRPr="00541960">
              <w:rPr>
                <w:rFonts w:eastAsia="Calibri"/>
                <w:color w:val="auto"/>
                <w:sz w:val="16"/>
                <w:lang w:eastAsia="en-US"/>
              </w:rPr>
              <w:t>Деревянные окна или пластиковые стеклопакеты, в рабочем состоянии, запорные элементы в исправном состоянии, стекла целые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Default="00B745A6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Default="00B745A6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Default="00B745A6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45A6" w:rsidRDefault="00B745A6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5A6" w:rsidRDefault="00B745A6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Межкомнатные двери с наличниками и ручками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Филенчатые двери</w:t>
            </w:r>
          </w:p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или</w:t>
            </w:r>
            <w:proofErr w:type="gramEnd"/>
          </w:p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щитовые</w:t>
            </w:r>
            <w:proofErr w:type="gram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двери</w:t>
            </w:r>
          </w:p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или</w:t>
            </w:r>
            <w:proofErr w:type="gramEnd"/>
          </w:p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6"/>
                <w:lang w:eastAsia="en-US"/>
              </w:rPr>
              <w:t>двери</w:t>
            </w:r>
            <w:proofErr w:type="gramEnd"/>
            <w:r>
              <w:rPr>
                <w:rFonts w:eastAsia="Calibri"/>
                <w:color w:val="auto"/>
                <w:sz w:val="16"/>
                <w:lang w:eastAsia="en-US"/>
              </w:rPr>
              <w:t xml:space="preserve"> из массива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Наружная дверь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Материал наружной двери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rPr>
                <w:color w:val="auto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Металлическая или комбинированная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Уплотнитель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2 контурный или 3 контурный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Оснащение инженерными системами: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>Отопление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Центральное отопление </w:t>
            </w:r>
          </w:p>
          <w:p w:rsidR="00072B2C" w:rsidRDefault="00072B2C">
            <w:pPr>
              <w:widowControl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Канализация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 w:rsidP="00F20412">
            <w:pPr>
              <w:widowControl w:val="0"/>
              <w:overflowPunct w:val="0"/>
              <w:rPr>
                <w:rFonts w:eastAsia="Calibri"/>
                <w:color w:val="auto"/>
                <w:sz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lang w:eastAsia="en-US"/>
              </w:rPr>
              <w:t xml:space="preserve">Централизованная 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Здание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0842ED" w:rsidTr="00F20412">
        <w:trPr>
          <w:cantSplit/>
          <w:trHeight w:val="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 w:rsidP="005106FC">
            <w:pPr>
              <w:pStyle w:val="a5"/>
              <w:widowControl w:val="0"/>
              <w:numPr>
                <w:ilvl w:val="1"/>
                <w:numId w:val="1"/>
              </w:numPr>
              <w:ind w:lef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Стены наружные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2B2C" w:rsidRDefault="00072B2C">
            <w:pPr>
              <w:widowControl w:val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</w:rPr>
              <w:t>Каменные конструкции или крупные железобетонные блоки или железобетонные панели или монолитный железобетонный каркас с заполнением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B2C" w:rsidRDefault="00072B2C">
            <w:pPr>
              <w:widowControl w:val="0"/>
              <w:overflowPunct w:val="0"/>
              <w:jc w:val="both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72B2C" w:rsidRDefault="00072B2C" w:rsidP="00072B2C">
      <w:pPr>
        <w:widowControl w:val="0"/>
        <w:overflowPunct w:val="0"/>
        <w:ind w:firstLine="851"/>
        <w:jc w:val="both"/>
        <w:rPr>
          <w:rFonts w:eastAsia="Calibri"/>
          <w:color w:val="auto"/>
          <w:sz w:val="16"/>
          <w:szCs w:val="16"/>
        </w:rPr>
      </w:pPr>
    </w:p>
    <w:p w:rsidR="00072B2C" w:rsidRPr="00C053F5" w:rsidRDefault="00072B2C" w:rsidP="00072B2C">
      <w:pPr>
        <w:widowControl w:val="0"/>
        <w:overflowPunct w:val="0"/>
        <w:ind w:firstLine="709"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szCs w:val="16"/>
        </w:rPr>
        <w:t>Дополнительные требования: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rFonts w:eastAsia="Calibri"/>
          <w:color w:val="auto"/>
          <w:szCs w:val="16"/>
        </w:rPr>
      </w:pPr>
      <w:r w:rsidRPr="00C053F5">
        <w:rPr>
          <w:rFonts w:eastAsia="Calibri"/>
          <w:color w:val="auto"/>
          <w:szCs w:val="16"/>
        </w:rPr>
        <w:t xml:space="preserve">Жилое помещение должно отвечать установленным строительным нормам и правилам (СНиП), Федеральному закону от 30 декабря 2009 г. №384-ФЗ «Технический регламент о безопасности зданий и сооружений», быть зарегистрированном в порядке, установленном законодательством Российской Федерации, </w:t>
      </w:r>
      <w:r w:rsidRPr="00C053F5">
        <w:rPr>
          <w:szCs w:val="16"/>
        </w:rPr>
        <w:t xml:space="preserve">не требовать проведения </w:t>
      </w:r>
      <w:proofErr w:type="gramStart"/>
      <w:r w:rsidRPr="00C053F5">
        <w:rPr>
          <w:szCs w:val="16"/>
        </w:rPr>
        <w:t>капитального  и</w:t>
      </w:r>
      <w:proofErr w:type="gramEnd"/>
      <w:r w:rsidRPr="00C053F5">
        <w:rPr>
          <w:szCs w:val="16"/>
        </w:rPr>
        <w:t xml:space="preserve"> текущего ремонта,</w:t>
      </w:r>
      <w:r w:rsidRPr="00C053F5">
        <w:rPr>
          <w:rFonts w:eastAsia="Calibri"/>
          <w:color w:val="auto"/>
          <w:szCs w:val="16"/>
        </w:rPr>
        <w:t xml:space="preserve"> не иметь ограничений и обременений.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rFonts w:eastAsia="Calibri"/>
          <w:color w:val="auto"/>
          <w:szCs w:val="16"/>
        </w:rPr>
      </w:pPr>
      <w:r w:rsidRPr="00C053F5">
        <w:rPr>
          <w:rFonts w:eastAsia="Calibri"/>
          <w:color w:val="auto"/>
          <w:lang w:eastAsia="en-US"/>
        </w:rPr>
        <w:t>Несущие и ограждающие конструкции жилого помещения не должны иметь трещин.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lang w:eastAsia="en-US"/>
        </w:rPr>
        <w:t>Инженерные системы, оборудование и механизмы,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</w:t>
      </w:r>
    </w:p>
    <w:p w:rsidR="00072B2C" w:rsidRPr="00483281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b/>
          <w:color w:val="auto"/>
          <w:sz w:val="24"/>
          <w:u w:val="single"/>
        </w:rPr>
      </w:pPr>
      <w:r w:rsidRPr="00C053F5">
        <w:rPr>
          <w:rFonts w:eastAsia="Calibri"/>
          <w:color w:val="auto"/>
          <w:szCs w:val="16"/>
        </w:rPr>
        <w:lastRenderedPageBreak/>
        <w:t>Должно быть благоустроено согласно степени благоустройства пригодной и безопасной для проживания граждан, подключено к электроснабжению (</w:t>
      </w:r>
      <w:r w:rsidRPr="00C053F5">
        <w:rPr>
          <w:rFonts w:eastAsia="Calibri"/>
          <w:color w:val="auto"/>
          <w:lang w:eastAsia="en-US"/>
        </w:rPr>
        <w:t xml:space="preserve">наличие в исправном состоянии электровыключателей, электророзеток, звонковой сигнализации), наличие холодного и горячего водоснабжения в исправном состоянии, иметь вентиляционные шахты с вентиляционными решетками, </w:t>
      </w:r>
      <w:r w:rsidRPr="00C053F5">
        <w:rPr>
          <w:rFonts w:eastAsia="Calibri"/>
          <w:b/>
          <w:color w:val="auto"/>
          <w:u w:val="single"/>
          <w:lang w:eastAsia="en-US"/>
        </w:rPr>
        <w:t>иметь квартирные приборы учета в исправном состоянии</w:t>
      </w:r>
      <w:r w:rsidR="00483281" w:rsidRPr="00483281">
        <w:rPr>
          <w:rFonts w:eastAsia="Calibri"/>
          <w:b/>
          <w:color w:val="auto"/>
          <w:u w:val="single"/>
          <w:lang w:eastAsia="en-US"/>
        </w:rPr>
        <w:t>,</w:t>
      </w:r>
      <w:r w:rsidR="00483281" w:rsidRPr="00483281">
        <w:rPr>
          <w:color w:val="000000"/>
          <w:u w:val="single"/>
        </w:rPr>
        <w:t xml:space="preserve"> </w:t>
      </w:r>
      <w:r w:rsidR="00483281" w:rsidRPr="00483281">
        <w:rPr>
          <w:b/>
          <w:color w:val="000000"/>
          <w:u w:val="single"/>
        </w:rPr>
        <w:t>опломбированные и с действующим сроком поверки</w:t>
      </w:r>
      <w:r w:rsidRPr="00483281">
        <w:rPr>
          <w:rFonts w:eastAsia="Calibri"/>
          <w:b/>
          <w:color w:val="auto"/>
          <w:u w:val="single"/>
          <w:lang w:eastAsia="en-US"/>
        </w:rPr>
        <w:t>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szCs w:val="16"/>
        </w:rPr>
        <w:t>Жилое помещение приобретается у лица, являющего собственником помещения, на территории Республики Саха (Якутия).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rFonts w:eastAsia="Calibri"/>
          <w:color w:val="auto"/>
          <w:szCs w:val="16"/>
        </w:rPr>
      </w:pPr>
      <w:r w:rsidRPr="00C053F5">
        <w:rPr>
          <w:rFonts w:eastAsia="Calibri"/>
          <w:color w:val="auto"/>
          <w:szCs w:val="16"/>
        </w:rPr>
        <w:t xml:space="preserve">Жилое помещение должно быть свободно от любых прав и притязаний третьих лиц, не обременено (не заложено, не являться предметом судебного спора, не передано в доверительное управление, в аренду, не быть под арестом, иным ограничением). Отсутствие задолженности по налогу на недвижимость и оплате коммунальных платежей (тепло-водоснабжение), электроэнергии, за услуги связи и иных обязательных платежей. Жилое помещение не должно иметь скрытых дефектов. 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szCs w:val="16"/>
        </w:rPr>
        <w:t>Жилое помещение должно быть передано заказчику с системами электроснабжения, теплоснабжения, водоснабжения и водоотведения, с установленным сантехническим оборудованием и установленной плитой для приготовления пищи.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szCs w:val="16"/>
        </w:rPr>
        <w:t>Жилое помещение, месторасположение комнат, межкомнатных перегородок должно соответствовать техническому плану жилого помещения.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szCs w:val="16"/>
        </w:rPr>
        <w:t>Исключается приобретение жилого помещения (квартиры), расположенного в цокольном, полуподвальном этажах, в ветхом и аварийном жилом фонде, в доме, подлежащем сносу, реконструкции.</w:t>
      </w:r>
    </w:p>
    <w:p w:rsidR="00072B2C" w:rsidRPr="00C053F5" w:rsidRDefault="00072B2C" w:rsidP="00072B2C">
      <w:pPr>
        <w:widowControl w:val="0"/>
        <w:numPr>
          <w:ilvl w:val="0"/>
          <w:numId w:val="2"/>
        </w:numPr>
        <w:overflowPunct w:val="0"/>
        <w:ind w:left="0" w:firstLine="709"/>
        <w:contextualSpacing/>
        <w:jc w:val="both"/>
        <w:rPr>
          <w:color w:val="auto"/>
          <w:sz w:val="24"/>
        </w:rPr>
      </w:pPr>
      <w:r w:rsidRPr="00C053F5">
        <w:rPr>
          <w:rFonts w:eastAsia="Calibri"/>
          <w:color w:val="auto"/>
          <w:szCs w:val="16"/>
        </w:rPr>
        <w:t>Предлагаемое жилое помещение должно сопровождаться всеми необходимыми документами для проведения государственной регистрации прав Российской Федерации в соответствии с порядком, установленным Федеральным законом от 13 июля 2015 года № 218-ФЗ «О государственной регистрации недвижимости».</w:t>
      </w:r>
    </w:p>
    <w:p w:rsidR="009D2C6D" w:rsidRPr="00C053F5" w:rsidRDefault="009D2C6D">
      <w:pPr>
        <w:rPr>
          <w:sz w:val="24"/>
        </w:rPr>
      </w:pPr>
    </w:p>
    <w:sectPr w:rsidR="009D2C6D" w:rsidRPr="00C053F5" w:rsidSect="00072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65" w:rsidRDefault="001B5B65" w:rsidP="00072B2C">
      <w:r>
        <w:separator/>
      </w:r>
    </w:p>
  </w:endnote>
  <w:endnote w:type="continuationSeparator" w:id="0">
    <w:p w:rsidR="001B5B65" w:rsidRDefault="001B5B65" w:rsidP="0007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65" w:rsidRDefault="001B5B65" w:rsidP="00072B2C">
      <w:r>
        <w:separator/>
      </w:r>
    </w:p>
  </w:footnote>
  <w:footnote w:type="continuationSeparator" w:id="0">
    <w:p w:rsidR="001B5B65" w:rsidRDefault="001B5B65" w:rsidP="00072B2C">
      <w:r>
        <w:continuationSeparator/>
      </w:r>
    </w:p>
  </w:footnote>
  <w:footnote w:id="1">
    <w:p w:rsidR="00072B2C" w:rsidRDefault="00072B2C" w:rsidP="00072B2C">
      <w:pPr>
        <w:pStyle w:val="a3"/>
        <w:jc w:val="both"/>
      </w:pPr>
      <w:r>
        <w:rPr>
          <w:rStyle w:val="a6"/>
          <w:sz w:val="16"/>
        </w:rPr>
        <w:footnoteRef/>
      </w:r>
      <w:r>
        <w:rPr>
          <w:rStyle w:val="a6"/>
          <w:sz w:val="16"/>
        </w:rPr>
        <w:tab/>
      </w:r>
      <w:r>
        <w:rPr>
          <w:iCs/>
          <w:sz w:val="16"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sz w:val="16"/>
          <w:u w:val="single"/>
        </w:rPr>
        <w:t>за исключением балконов, лоджий, веранд и террас</w:t>
      </w:r>
      <w:r>
        <w:rPr>
          <w:iCs/>
          <w:sz w:val="16"/>
        </w:rPr>
        <w:t xml:space="preserve"> – ст. 15 ЖК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985"/>
    <w:multiLevelType w:val="hybridMultilevel"/>
    <w:tmpl w:val="824C329C"/>
    <w:lvl w:ilvl="0" w:tplc="01E069C0">
      <w:start w:val="1"/>
      <w:numFmt w:val="decimal"/>
      <w:lvlText w:val="%1."/>
      <w:lvlJc w:val="left"/>
      <w:pPr>
        <w:ind w:left="1211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EA6BD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7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7"/>
    <w:rsid w:val="00072B2C"/>
    <w:rsid w:val="000842ED"/>
    <w:rsid w:val="000C7094"/>
    <w:rsid w:val="001B5B65"/>
    <w:rsid w:val="00232C68"/>
    <w:rsid w:val="00235C11"/>
    <w:rsid w:val="002A227C"/>
    <w:rsid w:val="00483281"/>
    <w:rsid w:val="00541960"/>
    <w:rsid w:val="005A443D"/>
    <w:rsid w:val="005E1163"/>
    <w:rsid w:val="00650007"/>
    <w:rsid w:val="00672B97"/>
    <w:rsid w:val="00817CD0"/>
    <w:rsid w:val="009D2C6D"/>
    <w:rsid w:val="00A6287F"/>
    <w:rsid w:val="00A74094"/>
    <w:rsid w:val="00B745A6"/>
    <w:rsid w:val="00C053F5"/>
    <w:rsid w:val="00CE043C"/>
    <w:rsid w:val="00D926CA"/>
    <w:rsid w:val="00E45767"/>
    <w:rsid w:val="00E930B4"/>
    <w:rsid w:val="00EE55EA"/>
    <w:rsid w:val="00F02AE4"/>
    <w:rsid w:val="00F20412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3126-6851-41FC-B4CC-C458A987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2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072B2C"/>
    <w:pPr>
      <w:overflowPunct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072B2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qFormat/>
    <w:rsid w:val="00072B2C"/>
    <w:pPr>
      <w:overflowPunct w:val="0"/>
      <w:ind w:left="720"/>
      <w:contextualSpacing/>
    </w:pPr>
    <w:rPr>
      <w:sz w:val="30"/>
      <w:szCs w:val="24"/>
    </w:rPr>
  </w:style>
  <w:style w:type="character" w:styleId="a6">
    <w:name w:val="footnote reference"/>
    <w:uiPriority w:val="99"/>
    <w:semiHidden/>
    <w:unhideWhenUsed/>
    <w:qFormat/>
    <w:rsid w:val="00072B2C"/>
    <w:rPr>
      <w:vertAlign w:val="superscript"/>
    </w:rPr>
  </w:style>
  <w:style w:type="character" w:customStyle="1" w:styleId="a7">
    <w:name w:val="Привязка сноски"/>
    <w:rsid w:val="00072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Cab-105</dc:creator>
  <cp:keywords/>
  <dc:description/>
  <cp:lastModifiedBy>Cab-105</cp:lastModifiedBy>
  <cp:revision>23</cp:revision>
  <dcterms:created xsi:type="dcterms:W3CDTF">2021-08-02T23:29:00Z</dcterms:created>
  <dcterms:modified xsi:type="dcterms:W3CDTF">2021-08-31T23:23:00Z</dcterms:modified>
</cp:coreProperties>
</file>