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C7" w:rsidRDefault="00F53AEE" w:rsidP="00F53AEE">
      <w:pPr>
        <w:autoSpaceDE w:val="0"/>
        <w:autoSpaceDN w:val="0"/>
        <w:adjustRightInd w:val="0"/>
        <w:spacing w:after="0" w:line="240" w:lineRule="auto"/>
        <w:ind w:firstLine="709"/>
        <w:jc w:val="both"/>
        <w:outlineLvl w:val="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D61C7" w:rsidRPr="00C83CF1">
        <w:rPr>
          <w:rFonts w:ascii="Times New Roman" w:hAnsi="Times New Roman" w:cs="Times New Roman"/>
          <w:sz w:val="18"/>
          <w:szCs w:val="18"/>
        </w:rPr>
        <w:t>Приложение №1</w:t>
      </w:r>
    </w:p>
    <w:p w:rsidR="00F53AEE" w:rsidRPr="00C83CF1" w:rsidRDefault="00F53AEE" w:rsidP="00F53AEE">
      <w:pPr>
        <w:autoSpaceDE w:val="0"/>
        <w:autoSpaceDN w:val="0"/>
        <w:adjustRightInd w:val="0"/>
        <w:spacing w:after="0" w:line="240" w:lineRule="auto"/>
        <w:ind w:firstLine="709"/>
        <w:jc w:val="both"/>
        <w:outlineLvl w:val="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УТВЕРЖДЕНО</w:t>
      </w:r>
    </w:p>
    <w:p w:rsidR="00F53AEE" w:rsidRDefault="00F53AEE" w:rsidP="00F53AEE">
      <w:pPr>
        <w:autoSpaceDE w:val="0"/>
        <w:autoSpaceDN w:val="0"/>
        <w:adjustRightInd w:val="0"/>
        <w:spacing w:after="0" w:line="240" w:lineRule="auto"/>
        <w:ind w:firstLine="709"/>
        <w:jc w:val="both"/>
        <w:outlineLvl w:val="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Р</w:t>
      </w:r>
      <w:r w:rsidR="009D61C7" w:rsidRPr="00C83CF1">
        <w:rPr>
          <w:rFonts w:ascii="Times New Roman" w:hAnsi="Times New Roman" w:cs="Times New Roman"/>
          <w:sz w:val="18"/>
          <w:szCs w:val="18"/>
        </w:rPr>
        <w:t>ешени</w:t>
      </w:r>
      <w:r>
        <w:rPr>
          <w:rFonts w:ascii="Times New Roman" w:hAnsi="Times New Roman" w:cs="Times New Roman"/>
          <w:sz w:val="18"/>
          <w:szCs w:val="18"/>
        </w:rPr>
        <w:t>ем</w:t>
      </w:r>
      <w:r w:rsidR="009D61C7" w:rsidRPr="00C83CF1">
        <w:rPr>
          <w:rFonts w:ascii="Times New Roman" w:hAnsi="Times New Roman" w:cs="Times New Roman"/>
          <w:sz w:val="18"/>
          <w:szCs w:val="18"/>
        </w:rPr>
        <w:t xml:space="preserve"> </w:t>
      </w:r>
      <w:r>
        <w:rPr>
          <w:rFonts w:ascii="Times New Roman" w:hAnsi="Times New Roman" w:cs="Times New Roman"/>
          <w:sz w:val="18"/>
          <w:szCs w:val="18"/>
        </w:rPr>
        <w:t>сессии</w:t>
      </w:r>
    </w:p>
    <w:p w:rsidR="009D61C7" w:rsidRPr="00C83CF1" w:rsidRDefault="00F53AEE" w:rsidP="00F53AEE">
      <w:pPr>
        <w:autoSpaceDE w:val="0"/>
        <w:autoSpaceDN w:val="0"/>
        <w:adjustRightInd w:val="0"/>
        <w:spacing w:after="0" w:line="240" w:lineRule="auto"/>
        <w:ind w:firstLine="709"/>
        <w:jc w:val="both"/>
        <w:outlineLvl w:val="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D61C7" w:rsidRPr="00C83CF1">
        <w:rPr>
          <w:rFonts w:ascii="Times New Roman" w:hAnsi="Times New Roman" w:cs="Times New Roman"/>
          <w:sz w:val="18"/>
          <w:szCs w:val="18"/>
        </w:rPr>
        <w:t>Айхальского</w:t>
      </w:r>
      <w:r>
        <w:rPr>
          <w:rFonts w:ascii="Times New Roman" w:hAnsi="Times New Roman" w:cs="Times New Roman"/>
          <w:sz w:val="18"/>
          <w:szCs w:val="18"/>
        </w:rPr>
        <w:t xml:space="preserve"> </w:t>
      </w:r>
      <w:r w:rsidR="009D61C7" w:rsidRPr="00C83CF1">
        <w:rPr>
          <w:rFonts w:ascii="Times New Roman" w:hAnsi="Times New Roman" w:cs="Times New Roman"/>
          <w:sz w:val="18"/>
          <w:szCs w:val="18"/>
        </w:rPr>
        <w:t>поселкового Совета</w:t>
      </w:r>
    </w:p>
    <w:p w:rsidR="009D61C7" w:rsidRPr="00C83CF1" w:rsidRDefault="00F53AEE" w:rsidP="00F53AEE">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D61C7" w:rsidRPr="00C83CF1">
        <w:rPr>
          <w:rFonts w:ascii="Times New Roman" w:hAnsi="Times New Roman" w:cs="Times New Roman"/>
          <w:sz w:val="18"/>
          <w:szCs w:val="18"/>
        </w:rPr>
        <w:t>от 29.12.2011</w:t>
      </w:r>
      <w:r>
        <w:rPr>
          <w:rFonts w:ascii="Times New Roman" w:hAnsi="Times New Roman" w:cs="Times New Roman"/>
          <w:sz w:val="18"/>
          <w:szCs w:val="18"/>
        </w:rPr>
        <w:t>г.</w:t>
      </w:r>
      <w:r w:rsidR="009D61C7" w:rsidRPr="00C83CF1">
        <w:rPr>
          <w:rFonts w:ascii="Times New Roman" w:hAnsi="Times New Roman" w:cs="Times New Roman"/>
          <w:sz w:val="18"/>
          <w:szCs w:val="18"/>
        </w:rPr>
        <w:t xml:space="preserve"> № 52-</w:t>
      </w:r>
      <w:r w:rsidR="0097770B" w:rsidRPr="00C83CF1">
        <w:rPr>
          <w:rFonts w:ascii="Times New Roman" w:hAnsi="Times New Roman" w:cs="Times New Roman"/>
          <w:sz w:val="18"/>
          <w:szCs w:val="18"/>
        </w:rPr>
        <w:t>9</w:t>
      </w:r>
    </w:p>
    <w:p w:rsidR="009D61C7" w:rsidRPr="009D61C7" w:rsidRDefault="009D61C7" w:rsidP="009D61C7">
      <w:pPr>
        <w:autoSpaceDE w:val="0"/>
        <w:autoSpaceDN w:val="0"/>
        <w:adjustRightInd w:val="0"/>
        <w:spacing w:after="0" w:line="240" w:lineRule="auto"/>
        <w:ind w:firstLine="709"/>
        <w:jc w:val="both"/>
        <w:rPr>
          <w:rFonts w:ascii="Times New Roman" w:hAnsi="Times New Roman" w:cs="Times New Roman"/>
        </w:rPr>
      </w:pPr>
    </w:p>
    <w:p w:rsidR="009011F0" w:rsidRPr="00C83CF1" w:rsidRDefault="009011F0" w:rsidP="005F784C">
      <w:pPr>
        <w:pStyle w:val="ConsPlusTitle"/>
        <w:widowControl/>
        <w:jc w:val="center"/>
        <w:rPr>
          <w:rFonts w:ascii="Times New Roman" w:hAnsi="Times New Roman" w:cs="Times New Roman"/>
          <w:sz w:val="24"/>
          <w:szCs w:val="24"/>
        </w:rPr>
      </w:pPr>
      <w:r w:rsidRPr="00C83CF1">
        <w:rPr>
          <w:rFonts w:ascii="Times New Roman" w:hAnsi="Times New Roman" w:cs="Times New Roman"/>
          <w:sz w:val="24"/>
          <w:szCs w:val="24"/>
        </w:rPr>
        <w:t xml:space="preserve">Положение </w:t>
      </w:r>
    </w:p>
    <w:p w:rsidR="009011F0" w:rsidRPr="00C83CF1" w:rsidRDefault="00F53AEE" w:rsidP="005F784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w:t>
      </w:r>
      <w:r w:rsidR="009011F0" w:rsidRPr="00C83CF1">
        <w:rPr>
          <w:rFonts w:ascii="Times New Roman" w:hAnsi="Times New Roman" w:cs="Times New Roman"/>
          <w:sz w:val="24"/>
          <w:szCs w:val="24"/>
        </w:rPr>
        <w:t xml:space="preserve"> п</w:t>
      </w:r>
      <w:r w:rsidR="00C5429C" w:rsidRPr="00C83CF1">
        <w:rPr>
          <w:rFonts w:ascii="Times New Roman" w:hAnsi="Times New Roman" w:cs="Times New Roman"/>
          <w:sz w:val="24"/>
          <w:szCs w:val="24"/>
        </w:rPr>
        <w:t>орядк</w:t>
      </w:r>
      <w:r w:rsidR="009011F0" w:rsidRPr="00C83CF1">
        <w:rPr>
          <w:rFonts w:ascii="Times New Roman" w:hAnsi="Times New Roman" w:cs="Times New Roman"/>
          <w:sz w:val="24"/>
          <w:szCs w:val="24"/>
        </w:rPr>
        <w:t xml:space="preserve">е </w:t>
      </w:r>
      <w:r w:rsidR="009D61C7" w:rsidRPr="00C83CF1">
        <w:rPr>
          <w:rFonts w:ascii="Times New Roman" w:hAnsi="Times New Roman" w:cs="Times New Roman"/>
          <w:sz w:val="24"/>
          <w:szCs w:val="24"/>
        </w:rPr>
        <w:t xml:space="preserve">предоставления иных межбюджетных трансфертов из бюджета </w:t>
      </w:r>
    </w:p>
    <w:p w:rsidR="009D61C7" w:rsidRPr="00C83CF1" w:rsidRDefault="009D61C7" w:rsidP="005F784C">
      <w:pPr>
        <w:pStyle w:val="ConsPlusTitle"/>
        <w:widowControl/>
        <w:jc w:val="center"/>
        <w:rPr>
          <w:rFonts w:ascii="Times New Roman" w:hAnsi="Times New Roman" w:cs="Times New Roman"/>
          <w:sz w:val="24"/>
          <w:szCs w:val="24"/>
        </w:rPr>
      </w:pPr>
      <w:r w:rsidRPr="00C83CF1">
        <w:rPr>
          <w:rFonts w:ascii="Times New Roman" w:hAnsi="Times New Roman" w:cs="Times New Roman"/>
          <w:sz w:val="24"/>
          <w:szCs w:val="24"/>
        </w:rPr>
        <w:t>муниципального образования «Поселок Айхал»</w:t>
      </w:r>
    </w:p>
    <w:p w:rsidR="009D61C7" w:rsidRPr="00C83CF1" w:rsidRDefault="009D61C7" w:rsidP="00C5429C">
      <w:pPr>
        <w:pStyle w:val="ConsPlusTitle"/>
        <w:widowControl/>
        <w:ind w:firstLine="709"/>
        <w:jc w:val="center"/>
        <w:rPr>
          <w:rFonts w:ascii="Times New Roman" w:hAnsi="Times New Roman" w:cs="Times New Roman"/>
          <w:sz w:val="24"/>
          <w:szCs w:val="24"/>
        </w:rPr>
      </w:pPr>
    </w:p>
    <w:p w:rsidR="009D61C7" w:rsidRPr="00C83CF1" w:rsidRDefault="005F784C" w:rsidP="004F0ACB">
      <w:pPr>
        <w:pStyle w:val="ConsPlusTitle"/>
        <w:widowControl/>
        <w:jc w:val="center"/>
        <w:rPr>
          <w:rFonts w:ascii="Times New Roman" w:hAnsi="Times New Roman" w:cs="Times New Roman"/>
          <w:sz w:val="24"/>
          <w:szCs w:val="24"/>
        </w:rPr>
      </w:pPr>
      <w:r w:rsidRPr="00C83CF1">
        <w:rPr>
          <w:rFonts w:ascii="Times New Roman" w:hAnsi="Times New Roman" w:cs="Times New Roman"/>
          <w:bCs w:val="0"/>
          <w:sz w:val="24"/>
          <w:szCs w:val="24"/>
        </w:rPr>
        <w:t>1.</w:t>
      </w:r>
      <w:r w:rsidRPr="00C83CF1">
        <w:rPr>
          <w:rFonts w:ascii="Times New Roman" w:hAnsi="Times New Roman" w:cs="Times New Roman"/>
          <w:sz w:val="24"/>
          <w:szCs w:val="24"/>
        </w:rPr>
        <w:t xml:space="preserve"> </w:t>
      </w:r>
      <w:r w:rsidR="009D61C7" w:rsidRPr="00C83CF1">
        <w:rPr>
          <w:rFonts w:ascii="Times New Roman" w:hAnsi="Times New Roman" w:cs="Times New Roman"/>
          <w:sz w:val="24"/>
          <w:szCs w:val="24"/>
        </w:rPr>
        <w:t>Общие положения</w:t>
      </w:r>
    </w:p>
    <w:p w:rsidR="009D61C7" w:rsidRPr="00C83CF1" w:rsidRDefault="009D61C7" w:rsidP="005F784C">
      <w:pPr>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t xml:space="preserve">Настоящий Порядок определяет основания и условия предоставления иных межбюджетных трансфертов из бюджета муниципального образования «Поселок Айхал»,  а также осуществления </w:t>
      </w:r>
      <w:proofErr w:type="gramStart"/>
      <w:r w:rsidRPr="00C83CF1">
        <w:rPr>
          <w:rFonts w:ascii="Times New Roman" w:hAnsi="Times New Roman" w:cs="Times New Roman"/>
          <w:sz w:val="24"/>
          <w:szCs w:val="24"/>
        </w:rPr>
        <w:t>контроля за</w:t>
      </w:r>
      <w:proofErr w:type="gramEnd"/>
      <w:r w:rsidRPr="00C83CF1">
        <w:rPr>
          <w:rFonts w:ascii="Times New Roman" w:hAnsi="Times New Roman" w:cs="Times New Roman"/>
          <w:sz w:val="24"/>
          <w:szCs w:val="24"/>
        </w:rPr>
        <w:t xml:space="preserve"> расходованием данных средств.</w:t>
      </w:r>
    </w:p>
    <w:p w:rsidR="009D61C7" w:rsidRPr="00C83CF1" w:rsidRDefault="009D61C7" w:rsidP="005F784C">
      <w:pPr>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t>Иные межбюджетные трансферты предусматриваются в составе бюджета МО «Поселок Айхал»:</w:t>
      </w:r>
    </w:p>
    <w:p w:rsidR="009D61C7" w:rsidRPr="00C83CF1" w:rsidRDefault="009D61C7" w:rsidP="005F784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83CF1">
        <w:rPr>
          <w:rFonts w:ascii="Times New Roman" w:hAnsi="Times New Roman" w:cs="Times New Roman"/>
          <w:sz w:val="24"/>
          <w:szCs w:val="24"/>
        </w:rPr>
        <w:t>- бюджету Республики Саха (Якутия) для формирования регионального фонда финансовой поддержки поселений и регионального фонда финансовой поддержки муниципальных районов (городских округов);</w:t>
      </w:r>
    </w:p>
    <w:p w:rsidR="009D61C7" w:rsidRPr="00C83CF1" w:rsidRDefault="009D61C7" w:rsidP="005F784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83CF1">
        <w:rPr>
          <w:rFonts w:ascii="Times New Roman" w:hAnsi="Times New Roman" w:cs="Times New Roman"/>
          <w:sz w:val="24"/>
          <w:szCs w:val="24"/>
        </w:rPr>
        <w:t>- бюджету муниципального образования «Мирнинский район</w:t>
      </w:r>
      <w:proofErr w:type="gramStart"/>
      <w:r w:rsidRPr="00C83CF1">
        <w:rPr>
          <w:rFonts w:ascii="Times New Roman" w:hAnsi="Times New Roman" w:cs="Times New Roman"/>
          <w:sz w:val="24"/>
          <w:szCs w:val="24"/>
        </w:rPr>
        <w:t>»в</w:t>
      </w:r>
      <w:proofErr w:type="gramEnd"/>
      <w:r w:rsidRPr="00C83CF1">
        <w:rPr>
          <w:rFonts w:ascii="Times New Roman" w:hAnsi="Times New Roman" w:cs="Times New Roman"/>
          <w:sz w:val="24"/>
          <w:szCs w:val="24"/>
        </w:rPr>
        <w:t xml:space="preserve"> целях передачи органам местного самоуправления МО «Мирнинский район» для осуществления части полномочий по вопросам местного значения. </w:t>
      </w:r>
    </w:p>
    <w:p w:rsidR="009D61C7" w:rsidRPr="00C83CF1" w:rsidRDefault="009D61C7" w:rsidP="005F784C">
      <w:pPr>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t>Понятия и термины, используемые в настоящем Положении, применяются в значениях, определенных Бюджетным кодексом Российской Федерации.</w:t>
      </w:r>
    </w:p>
    <w:p w:rsidR="009D61C7" w:rsidRPr="00C83CF1" w:rsidRDefault="009D61C7" w:rsidP="005F784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9D61C7" w:rsidRPr="00C83CF1" w:rsidRDefault="009D61C7" w:rsidP="005F784C">
      <w:pPr>
        <w:numPr>
          <w:ilvl w:val="0"/>
          <w:numId w:val="1"/>
        </w:numPr>
        <w:tabs>
          <w:tab w:val="left" w:pos="993"/>
        </w:tabs>
        <w:autoSpaceDE w:val="0"/>
        <w:autoSpaceDN w:val="0"/>
        <w:adjustRightInd w:val="0"/>
        <w:spacing w:after="0" w:line="240" w:lineRule="auto"/>
        <w:ind w:left="0" w:firstLine="709"/>
        <w:jc w:val="center"/>
        <w:rPr>
          <w:rFonts w:ascii="Times New Roman" w:hAnsi="Times New Roman" w:cs="Times New Roman"/>
          <w:b/>
          <w:sz w:val="24"/>
          <w:szCs w:val="24"/>
        </w:rPr>
      </w:pPr>
      <w:r w:rsidRPr="00C83CF1">
        <w:rPr>
          <w:rFonts w:ascii="Times New Roman" w:hAnsi="Times New Roman" w:cs="Times New Roman"/>
          <w:b/>
          <w:sz w:val="24"/>
          <w:szCs w:val="24"/>
        </w:rPr>
        <w:t>Порядок и условия предоставления иных межбюджетных трансфертов</w:t>
      </w:r>
    </w:p>
    <w:p w:rsidR="009D61C7" w:rsidRPr="00C83CF1" w:rsidRDefault="009D61C7" w:rsidP="005F784C">
      <w:pPr>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t>Основанием для предоставления иных межбюджетных трансфертов из бюджета муниципального образования «Поселок Айхал» бюджету Республики Саха (Якутия) является Закон Республики Саха (Якутия) «О выравнивании бюджетной обеспеченности муниципальных образований Республики Саха (Якутия)» 258-З №523-</w:t>
      </w:r>
      <w:r w:rsidRPr="00C83CF1">
        <w:rPr>
          <w:rFonts w:ascii="Times New Roman" w:hAnsi="Times New Roman" w:cs="Times New Roman"/>
          <w:sz w:val="24"/>
          <w:szCs w:val="24"/>
          <w:lang w:val="en-US"/>
        </w:rPr>
        <w:t>III</w:t>
      </w:r>
      <w:r w:rsidRPr="00C83CF1">
        <w:rPr>
          <w:rFonts w:ascii="Times New Roman" w:hAnsi="Times New Roman" w:cs="Times New Roman"/>
          <w:sz w:val="24"/>
          <w:szCs w:val="24"/>
        </w:rPr>
        <w:t xml:space="preserve"> от 13.07.2005 г.</w:t>
      </w:r>
    </w:p>
    <w:p w:rsidR="009D61C7" w:rsidRPr="00C83CF1" w:rsidRDefault="009D61C7" w:rsidP="005F784C">
      <w:pPr>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t>Основаниями предоставления иных межбюджетных трансфертов из бюджета муниципального образования «Поселок Айхал»  бюджету муниципального образования «Мирнинский район» являются:</w:t>
      </w:r>
    </w:p>
    <w:p w:rsidR="009D61C7" w:rsidRPr="00C83CF1" w:rsidRDefault="009D61C7" w:rsidP="005F784C">
      <w:pPr>
        <w:numPr>
          <w:ilvl w:val="2"/>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t>принятие соответствующего решения представительных органов местного самоуправления о передаче и принятии части полномочий;</w:t>
      </w:r>
    </w:p>
    <w:p w:rsidR="009D61C7" w:rsidRPr="00C83CF1" w:rsidRDefault="009D61C7" w:rsidP="005F784C">
      <w:pPr>
        <w:numPr>
          <w:ilvl w:val="2"/>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t>заключение соглашения между органами местного самоуправления о передаче части полномочий по вопросам местного значения.</w:t>
      </w:r>
    </w:p>
    <w:p w:rsidR="009D61C7" w:rsidRPr="00C83CF1" w:rsidRDefault="009D61C7" w:rsidP="005F784C">
      <w:pPr>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t>Объем средств и целевое назначение иных межбюджетных трансфертов утверждаются решением Айхальского поселкового Совета в бюджете на очередной финансовый год, а также посредством внесения изменений в решение о бюджете текущего года.</w:t>
      </w:r>
    </w:p>
    <w:p w:rsidR="009D61C7" w:rsidRPr="00C83CF1" w:rsidRDefault="009D61C7" w:rsidP="005F784C">
      <w:pPr>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t>Иные 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муниципального образования «Поселок Айхал» на основании соглашения о передаче части полномочий.</w:t>
      </w:r>
    </w:p>
    <w:p w:rsidR="009D61C7" w:rsidRPr="00C83CF1" w:rsidRDefault="009D61C7" w:rsidP="005F784C">
      <w:pPr>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t xml:space="preserve">Иные межбюджетные трансферты перечисляются на балансовый счет 4001 «Доходы, распределяемые органами Федерального казначейства между уровнями бюджетной системы Российской Федерации». </w:t>
      </w:r>
    </w:p>
    <w:p w:rsidR="009D61C7" w:rsidRPr="00C83CF1" w:rsidRDefault="009D61C7" w:rsidP="005F784C">
      <w:pPr>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t xml:space="preserve">Перечисление в бюджет Республики Саха (Якутия) и бюджет муниципального образования «Мирнинский район» иных межбюджетных трансфертов производится ежемесячно в размере 1/3 от квартальной суммы иных межбюджетных трансфертов, утвержденных решением о бюджете муниципального образования «Поселок Айхал»  на очередной финансовый год и плановый период в сроки установленные соглашением о передаче части полномочий. </w:t>
      </w:r>
    </w:p>
    <w:p w:rsidR="009D61C7" w:rsidRPr="00C83CF1" w:rsidRDefault="009D61C7" w:rsidP="005F784C">
      <w:pPr>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lastRenderedPageBreak/>
        <w:t>Иные межбюджетные трансферты, передаваемые бюджетам Республики Саха (Якутия) и муниципального образования «Мирнинский район», учитываются Республикой Саха (Якутия) и муниципальным образованием «Мирнинский район» в составе доходов согласно бюджетной классификации, а также направляются и расходуются по целевому назначению.</w:t>
      </w:r>
    </w:p>
    <w:p w:rsidR="009D61C7" w:rsidRPr="00C83CF1" w:rsidRDefault="009D61C7" w:rsidP="009D61C7">
      <w:pPr>
        <w:tabs>
          <w:tab w:val="left" w:pos="1560"/>
        </w:tabs>
        <w:autoSpaceDE w:val="0"/>
        <w:autoSpaceDN w:val="0"/>
        <w:adjustRightInd w:val="0"/>
        <w:spacing w:after="0" w:line="240" w:lineRule="auto"/>
        <w:ind w:firstLine="709"/>
        <w:jc w:val="both"/>
        <w:rPr>
          <w:rFonts w:ascii="Times New Roman" w:hAnsi="Times New Roman" w:cs="Times New Roman"/>
          <w:b/>
          <w:sz w:val="24"/>
          <w:szCs w:val="24"/>
        </w:rPr>
      </w:pPr>
    </w:p>
    <w:p w:rsidR="009D61C7" w:rsidRPr="00C83CF1" w:rsidRDefault="009D61C7" w:rsidP="005F784C">
      <w:pPr>
        <w:numPr>
          <w:ilvl w:val="0"/>
          <w:numId w:val="1"/>
        </w:numPr>
        <w:tabs>
          <w:tab w:val="left" w:pos="1134"/>
          <w:tab w:val="left" w:pos="1701"/>
        </w:tabs>
        <w:autoSpaceDE w:val="0"/>
        <w:autoSpaceDN w:val="0"/>
        <w:adjustRightInd w:val="0"/>
        <w:spacing w:after="0" w:line="240" w:lineRule="auto"/>
        <w:ind w:left="0" w:firstLine="709"/>
        <w:jc w:val="center"/>
        <w:rPr>
          <w:rFonts w:ascii="Times New Roman" w:hAnsi="Times New Roman" w:cs="Times New Roman"/>
          <w:b/>
          <w:sz w:val="24"/>
          <w:szCs w:val="24"/>
        </w:rPr>
      </w:pPr>
      <w:proofErr w:type="gramStart"/>
      <w:r w:rsidRPr="00C83CF1">
        <w:rPr>
          <w:rFonts w:ascii="Times New Roman" w:hAnsi="Times New Roman" w:cs="Times New Roman"/>
          <w:b/>
          <w:sz w:val="24"/>
          <w:szCs w:val="24"/>
        </w:rPr>
        <w:t>Контроль за</w:t>
      </w:r>
      <w:proofErr w:type="gramEnd"/>
      <w:r w:rsidRPr="00C83CF1">
        <w:rPr>
          <w:rFonts w:ascii="Times New Roman" w:hAnsi="Times New Roman" w:cs="Times New Roman"/>
          <w:b/>
          <w:sz w:val="24"/>
          <w:szCs w:val="24"/>
        </w:rPr>
        <w:t xml:space="preserve"> использованием иных межбюджетных трансфертов</w:t>
      </w:r>
    </w:p>
    <w:p w:rsidR="009D61C7" w:rsidRPr="00C83CF1" w:rsidRDefault="009D61C7" w:rsidP="005F784C">
      <w:pPr>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83CF1">
        <w:rPr>
          <w:rFonts w:ascii="Times New Roman" w:hAnsi="Times New Roman" w:cs="Times New Roman"/>
          <w:sz w:val="24"/>
          <w:szCs w:val="24"/>
        </w:rPr>
        <w:t>Органы местного самоуправления муниципального образовании «Мирнинский район» в сроки и по формах, установленных в соглашении о передаче осуществления части полномочий по решению вопросов местного значения муниципального образования «Поселок Айхал», представляют органам местного самоуправления муниципального образования «Поселок Айхал» отчет о расходовании средств иных межбюджетных трансфертов по форме согласно приложению к настоящему Порядку.</w:t>
      </w:r>
      <w:proofErr w:type="gramEnd"/>
    </w:p>
    <w:p w:rsidR="009D61C7" w:rsidRPr="00C83CF1" w:rsidRDefault="009D61C7" w:rsidP="005F784C">
      <w:pPr>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t>Органы местного самоуправления муниципального образования «Мирнинский район» несут ответственность за нецелевое использование иных межбюджетных трансфертов, полученных из бюджета муниципального образования «Поселок Айхал», и достоверность представляемых отчетов.</w:t>
      </w:r>
    </w:p>
    <w:p w:rsidR="009D61C7" w:rsidRPr="00C83CF1" w:rsidRDefault="009D61C7" w:rsidP="005F784C">
      <w:pPr>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3CF1">
        <w:rPr>
          <w:rFonts w:ascii="Times New Roman" w:hAnsi="Times New Roman" w:cs="Times New Roman"/>
          <w:sz w:val="24"/>
          <w:szCs w:val="24"/>
        </w:rPr>
        <w:t xml:space="preserve">Иные межбюджетные трансферты, имеющие целевое назначение, не использованные в текущем финансовом году, могут использоваться в очередном финансовом году </w:t>
      </w:r>
      <w:proofErr w:type="gramStart"/>
      <w:r w:rsidRPr="00C83CF1">
        <w:rPr>
          <w:rFonts w:ascii="Times New Roman" w:hAnsi="Times New Roman" w:cs="Times New Roman"/>
          <w:sz w:val="24"/>
          <w:szCs w:val="24"/>
        </w:rPr>
        <w:t>на те</w:t>
      </w:r>
      <w:proofErr w:type="gramEnd"/>
      <w:r w:rsidRPr="00C83CF1">
        <w:rPr>
          <w:rFonts w:ascii="Times New Roman" w:hAnsi="Times New Roman" w:cs="Times New Roman"/>
          <w:sz w:val="24"/>
          <w:szCs w:val="24"/>
        </w:rPr>
        <w:t xml:space="preserve"> же цели при наличии потребности в указанных трансфертах в соответствии с решением о бюджете муниципального образования «Поселок Айхал» на основании уведомлений по расчетам между бюджетами по межбюджетным трансфертам.</w:t>
      </w:r>
    </w:p>
    <w:p w:rsidR="009D61C7" w:rsidRPr="00C83CF1" w:rsidRDefault="009D61C7" w:rsidP="005F784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83CF1">
        <w:rPr>
          <w:rFonts w:ascii="Times New Roman" w:hAnsi="Times New Roman" w:cs="Times New Roman"/>
          <w:sz w:val="24"/>
          <w:szCs w:val="24"/>
        </w:rPr>
        <w:t>При отсутствии потребности в указанных трансфертах неиспользованные по состоянию на 1 января очередного финансового года иные межбюджетные трансферты подлежат возврату в бюджет муниципального образования «Поселок Айхал» в срок до 1 февраля следующего за отчетным годом.</w:t>
      </w:r>
    </w:p>
    <w:p w:rsidR="009D61C7" w:rsidRPr="00C83CF1" w:rsidRDefault="009D61C7" w:rsidP="005F784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83CF1">
        <w:rPr>
          <w:rFonts w:ascii="Times New Roman" w:hAnsi="Times New Roman" w:cs="Times New Roman"/>
          <w:sz w:val="24"/>
          <w:szCs w:val="24"/>
        </w:rPr>
        <w:t xml:space="preserve">3.4. Органы местного самоуправления муниципального образования «Мирнинский  район», представляют </w:t>
      </w:r>
      <w:proofErr w:type="spellStart"/>
      <w:r w:rsidRPr="00C83CF1">
        <w:rPr>
          <w:rFonts w:ascii="Times New Roman" w:hAnsi="Times New Roman" w:cs="Times New Roman"/>
          <w:sz w:val="24"/>
          <w:szCs w:val="24"/>
        </w:rPr>
        <w:t>Айхальскому</w:t>
      </w:r>
      <w:proofErr w:type="spellEnd"/>
      <w:r w:rsidRPr="00C83CF1">
        <w:rPr>
          <w:rFonts w:ascii="Times New Roman" w:hAnsi="Times New Roman" w:cs="Times New Roman"/>
          <w:sz w:val="24"/>
          <w:szCs w:val="24"/>
        </w:rPr>
        <w:t xml:space="preserve"> поселковому Совету  отчет с пояснительной запиской в разрезе проводимых мероприятий о</w:t>
      </w:r>
      <w:r w:rsidR="005F784C" w:rsidRPr="00C83CF1">
        <w:rPr>
          <w:rFonts w:ascii="Times New Roman" w:hAnsi="Times New Roman" w:cs="Times New Roman"/>
          <w:sz w:val="24"/>
          <w:szCs w:val="24"/>
        </w:rPr>
        <w:t>б</w:t>
      </w:r>
      <w:r w:rsidRPr="00C83CF1">
        <w:rPr>
          <w:rFonts w:ascii="Times New Roman" w:hAnsi="Times New Roman" w:cs="Times New Roman"/>
          <w:sz w:val="24"/>
          <w:szCs w:val="24"/>
        </w:rPr>
        <w:t xml:space="preserve"> использованных иных межбюджетных трансфертов в текущем финансовом году в срок не позднее 01 мая очередного финансового года. </w:t>
      </w:r>
    </w:p>
    <w:p w:rsidR="009D61C7" w:rsidRPr="00C83CF1" w:rsidRDefault="009D61C7" w:rsidP="005F784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83CF1">
        <w:rPr>
          <w:rFonts w:ascii="Times New Roman" w:hAnsi="Times New Roman" w:cs="Times New Roman"/>
          <w:sz w:val="24"/>
          <w:szCs w:val="24"/>
        </w:rPr>
        <w:t xml:space="preserve">3.5. </w:t>
      </w:r>
      <w:proofErr w:type="gramStart"/>
      <w:r w:rsidRPr="00C83CF1">
        <w:rPr>
          <w:rFonts w:ascii="Times New Roman" w:hAnsi="Times New Roman" w:cs="Times New Roman"/>
          <w:sz w:val="24"/>
          <w:szCs w:val="24"/>
        </w:rPr>
        <w:t>Контроль за</w:t>
      </w:r>
      <w:proofErr w:type="gramEnd"/>
      <w:r w:rsidRPr="00C83CF1">
        <w:rPr>
          <w:rFonts w:ascii="Times New Roman" w:hAnsi="Times New Roman" w:cs="Times New Roman"/>
          <w:sz w:val="24"/>
          <w:szCs w:val="24"/>
        </w:rPr>
        <w:t xml:space="preserve"> расходованием иных межбюджетных трансфертов в пределах своих полномочий осуществляют Контрольно-счетная палата и экономический отдел Администрации МО «Поселок Айхал».</w:t>
      </w:r>
    </w:p>
    <w:p w:rsidR="00D22505" w:rsidRDefault="00D22505" w:rsidP="00203B80">
      <w:pPr>
        <w:tabs>
          <w:tab w:val="center" w:pos="5032"/>
          <w:tab w:val="right" w:pos="9355"/>
        </w:tabs>
        <w:autoSpaceDE w:val="0"/>
        <w:autoSpaceDN w:val="0"/>
        <w:adjustRightInd w:val="0"/>
        <w:spacing w:after="0" w:line="240" w:lineRule="auto"/>
        <w:ind w:firstLine="709"/>
        <w:outlineLvl w:val="1"/>
        <w:rPr>
          <w:rFonts w:ascii="Times New Roman" w:hAnsi="Times New Roman" w:cs="Times New Roman"/>
        </w:rPr>
      </w:pPr>
    </w:p>
    <w:p w:rsidR="00D22505" w:rsidRPr="00D22505" w:rsidRDefault="00D22505" w:rsidP="00D22505">
      <w:pPr>
        <w:rPr>
          <w:rFonts w:ascii="Times New Roman" w:hAnsi="Times New Roman" w:cs="Times New Roman"/>
        </w:rPr>
      </w:pPr>
    </w:p>
    <w:p w:rsidR="00D22505" w:rsidRPr="00D22505" w:rsidRDefault="00D22505" w:rsidP="00D22505">
      <w:pPr>
        <w:rPr>
          <w:rFonts w:ascii="Times New Roman" w:hAnsi="Times New Roman" w:cs="Times New Roman"/>
        </w:rPr>
      </w:pPr>
    </w:p>
    <w:p w:rsidR="009D61C7" w:rsidRPr="00C83CF1" w:rsidRDefault="009D61C7" w:rsidP="00C83CF1">
      <w:pPr>
        <w:tabs>
          <w:tab w:val="center" w:pos="7230"/>
          <w:tab w:val="right" w:pos="9355"/>
        </w:tabs>
        <w:autoSpaceDE w:val="0"/>
        <w:autoSpaceDN w:val="0"/>
        <w:adjustRightInd w:val="0"/>
        <w:spacing w:after="0" w:line="240" w:lineRule="auto"/>
        <w:ind w:firstLine="709"/>
        <w:outlineLvl w:val="1"/>
        <w:rPr>
          <w:rFonts w:ascii="Times New Roman" w:hAnsi="Times New Roman" w:cs="Times New Roman"/>
          <w:sz w:val="18"/>
          <w:szCs w:val="18"/>
        </w:rPr>
      </w:pPr>
      <w:r w:rsidRPr="00D22505">
        <w:rPr>
          <w:rFonts w:ascii="Times New Roman" w:hAnsi="Times New Roman" w:cs="Times New Roman"/>
        </w:rPr>
        <w:br w:type="page"/>
      </w:r>
      <w:r w:rsidR="00203B80">
        <w:rPr>
          <w:rFonts w:ascii="Times New Roman" w:hAnsi="Times New Roman" w:cs="Times New Roman"/>
        </w:rPr>
        <w:lastRenderedPageBreak/>
        <w:tab/>
      </w:r>
      <w:r w:rsidRPr="00C83CF1">
        <w:rPr>
          <w:rFonts w:ascii="Times New Roman" w:hAnsi="Times New Roman" w:cs="Times New Roman"/>
          <w:sz w:val="18"/>
          <w:szCs w:val="18"/>
        </w:rPr>
        <w:t>Приложение</w:t>
      </w:r>
      <w:r w:rsidR="00203B80" w:rsidRPr="00C83CF1">
        <w:rPr>
          <w:rFonts w:ascii="Times New Roman" w:hAnsi="Times New Roman" w:cs="Times New Roman"/>
          <w:sz w:val="18"/>
          <w:szCs w:val="18"/>
        </w:rPr>
        <w:t xml:space="preserve"> №1</w:t>
      </w:r>
    </w:p>
    <w:p w:rsidR="00203B80" w:rsidRPr="00C83CF1" w:rsidRDefault="00C83CF1" w:rsidP="009D61C7">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D61C7" w:rsidRPr="00C83CF1">
        <w:rPr>
          <w:rFonts w:ascii="Times New Roman" w:hAnsi="Times New Roman" w:cs="Times New Roman"/>
          <w:sz w:val="18"/>
          <w:szCs w:val="18"/>
        </w:rPr>
        <w:t>к Порядку предоставления иных</w:t>
      </w:r>
    </w:p>
    <w:p w:rsidR="00203B80" w:rsidRPr="00C83CF1" w:rsidRDefault="00C83CF1" w:rsidP="009D61C7">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D61C7" w:rsidRPr="00C83CF1">
        <w:rPr>
          <w:rFonts w:ascii="Times New Roman" w:hAnsi="Times New Roman" w:cs="Times New Roman"/>
          <w:sz w:val="18"/>
          <w:szCs w:val="18"/>
        </w:rPr>
        <w:t>межбюджетных трансфертов из бюджета</w:t>
      </w:r>
    </w:p>
    <w:p w:rsidR="009D61C7" w:rsidRPr="00C83CF1" w:rsidRDefault="00C83CF1" w:rsidP="009D61C7">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D61C7" w:rsidRPr="00C83CF1">
        <w:rPr>
          <w:rFonts w:ascii="Times New Roman" w:hAnsi="Times New Roman" w:cs="Times New Roman"/>
          <w:sz w:val="18"/>
          <w:szCs w:val="18"/>
        </w:rPr>
        <w:t xml:space="preserve">муниципального образования «Поселок Айхал» </w:t>
      </w:r>
    </w:p>
    <w:p w:rsidR="009D61C7" w:rsidRPr="009D61C7" w:rsidRDefault="009D61C7" w:rsidP="009D61C7">
      <w:pPr>
        <w:autoSpaceDE w:val="0"/>
        <w:autoSpaceDN w:val="0"/>
        <w:adjustRightInd w:val="0"/>
        <w:spacing w:after="0" w:line="240" w:lineRule="auto"/>
        <w:ind w:firstLine="709"/>
        <w:jc w:val="both"/>
        <w:rPr>
          <w:rFonts w:ascii="Times New Roman" w:hAnsi="Times New Roman" w:cs="Times New Roman"/>
        </w:rPr>
      </w:pPr>
    </w:p>
    <w:p w:rsidR="009D61C7" w:rsidRPr="009D61C7" w:rsidRDefault="009D61C7" w:rsidP="009D61C7">
      <w:pPr>
        <w:autoSpaceDE w:val="0"/>
        <w:autoSpaceDN w:val="0"/>
        <w:adjustRightInd w:val="0"/>
        <w:spacing w:after="0" w:line="240" w:lineRule="auto"/>
        <w:ind w:firstLine="709"/>
        <w:jc w:val="both"/>
        <w:rPr>
          <w:rFonts w:ascii="Times New Roman" w:hAnsi="Times New Roman" w:cs="Times New Roman"/>
        </w:rPr>
      </w:pPr>
    </w:p>
    <w:p w:rsidR="009D61C7" w:rsidRPr="009D61C7" w:rsidRDefault="009D61C7" w:rsidP="009D61C7">
      <w:pPr>
        <w:autoSpaceDE w:val="0"/>
        <w:autoSpaceDN w:val="0"/>
        <w:adjustRightInd w:val="0"/>
        <w:spacing w:after="0" w:line="240" w:lineRule="auto"/>
        <w:ind w:firstLine="709"/>
        <w:jc w:val="both"/>
        <w:rPr>
          <w:rFonts w:ascii="Times New Roman" w:hAnsi="Times New Roman" w:cs="Times New Roman"/>
        </w:rPr>
      </w:pPr>
    </w:p>
    <w:p w:rsidR="009D61C7" w:rsidRPr="00C83CF1" w:rsidRDefault="009D61C7" w:rsidP="00EA6A27">
      <w:pPr>
        <w:autoSpaceDE w:val="0"/>
        <w:autoSpaceDN w:val="0"/>
        <w:adjustRightInd w:val="0"/>
        <w:spacing w:after="0" w:line="240" w:lineRule="auto"/>
        <w:ind w:firstLine="709"/>
        <w:jc w:val="center"/>
        <w:rPr>
          <w:rFonts w:ascii="Times New Roman" w:hAnsi="Times New Roman" w:cs="Times New Roman"/>
          <w:b/>
          <w:sz w:val="24"/>
          <w:szCs w:val="24"/>
        </w:rPr>
      </w:pPr>
      <w:r w:rsidRPr="00C83CF1">
        <w:rPr>
          <w:rFonts w:ascii="Times New Roman" w:hAnsi="Times New Roman" w:cs="Times New Roman"/>
          <w:b/>
          <w:sz w:val="24"/>
          <w:szCs w:val="24"/>
        </w:rPr>
        <w:t>О Т Ч Е Т</w:t>
      </w:r>
    </w:p>
    <w:p w:rsidR="009D61C7" w:rsidRPr="00C83CF1" w:rsidRDefault="009D61C7" w:rsidP="00EA6A27">
      <w:pPr>
        <w:autoSpaceDE w:val="0"/>
        <w:autoSpaceDN w:val="0"/>
        <w:adjustRightInd w:val="0"/>
        <w:spacing w:after="0" w:line="240" w:lineRule="auto"/>
        <w:ind w:firstLine="709"/>
        <w:jc w:val="center"/>
        <w:rPr>
          <w:rFonts w:ascii="Times New Roman" w:hAnsi="Times New Roman" w:cs="Times New Roman"/>
          <w:b/>
          <w:sz w:val="24"/>
          <w:szCs w:val="24"/>
        </w:rPr>
      </w:pPr>
      <w:r w:rsidRPr="00C83CF1">
        <w:rPr>
          <w:rFonts w:ascii="Times New Roman" w:hAnsi="Times New Roman" w:cs="Times New Roman"/>
          <w:b/>
          <w:sz w:val="24"/>
          <w:szCs w:val="24"/>
        </w:rPr>
        <w:t>о расходовании средств иных межбюджетных трансфертов</w:t>
      </w:r>
    </w:p>
    <w:p w:rsidR="009D61C7" w:rsidRPr="00C83CF1" w:rsidRDefault="009D61C7" w:rsidP="00EA6A27">
      <w:pPr>
        <w:autoSpaceDE w:val="0"/>
        <w:autoSpaceDN w:val="0"/>
        <w:adjustRightInd w:val="0"/>
        <w:spacing w:after="0" w:line="240" w:lineRule="auto"/>
        <w:ind w:firstLine="709"/>
        <w:jc w:val="center"/>
        <w:rPr>
          <w:rFonts w:ascii="Times New Roman" w:hAnsi="Times New Roman" w:cs="Times New Roman"/>
          <w:b/>
          <w:sz w:val="24"/>
          <w:szCs w:val="24"/>
        </w:rPr>
      </w:pPr>
      <w:r w:rsidRPr="00C83CF1">
        <w:rPr>
          <w:rFonts w:ascii="Times New Roman" w:hAnsi="Times New Roman" w:cs="Times New Roman"/>
          <w:b/>
          <w:sz w:val="24"/>
          <w:szCs w:val="24"/>
        </w:rPr>
        <w:t>муниципального образования «Мирнинский район»</w:t>
      </w:r>
      <w:r w:rsidR="00190A8A" w:rsidRPr="00C83CF1">
        <w:rPr>
          <w:rFonts w:ascii="Times New Roman" w:hAnsi="Times New Roman" w:cs="Times New Roman"/>
          <w:b/>
          <w:sz w:val="24"/>
          <w:szCs w:val="24"/>
        </w:rPr>
        <w:t xml:space="preserve"> </w:t>
      </w:r>
      <w:r w:rsidRPr="00C83CF1">
        <w:rPr>
          <w:rFonts w:ascii="Times New Roman" w:hAnsi="Times New Roman" w:cs="Times New Roman"/>
          <w:b/>
          <w:sz w:val="24"/>
          <w:szCs w:val="24"/>
        </w:rPr>
        <w:t>за __________ 20__ года</w:t>
      </w:r>
    </w:p>
    <w:p w:rsidR="009D61C7" w:rsidRPr="00C83CF1" w:rsidRDefault="009D61C7" w:rsidP="009D61C7">
      <w:pPr>
        <w:autoSpaceDE w:val="0"/>
        <w:autoSpaceDN w:val="0"/>
        <w:adjustRightInd w:val="0"/>
        <w:spacing w:after="0" w:line="240" w:lineRule="auto"/>
        <w:ind w:firstLine="709"/>
        <w:jc w:val="both"/>
        <w:rPr>
          <w:rFonts w:ascii="Times New Roman" w:hAnsi="Times New Roman" w:cs="Times New Roman"/>
          <w:sz w:val="24"/>
          <w:szCs w:val="24"/>
        </w:rPr>
      </w:pPr>
    </w:p>
    <w:tbl>
      <w:tblPr>
        <w:tblW w:w="10557" w:type="dxa"/>
        <w:tblInd w:w="-848" w:type="dxa"/>
        <w:tblLayout w:type="fixed"/>
        <w:tblCellMar>
          <w:left w:w="70" w:type="dxa"/>
          <w:right w:w="70" w:type="dxa"/>
        </w:tblCellMar>
        <w:tblLook w:val="0000"/>
      </w:tblPr>
      <w:tblGrid>
        <w:gridCol w:w="1485"/>
        <w:gridCol w:w="1023"/>
        <w:gridCol w:w="752"/>
        <w:gridCol w:w="992"/>
        <w:gridCol w:w="1418"/>
        <w:gridCol w:w="1275"/>
        <w:gridCol w:w="709"/>
        <w:gridCol w:w="992"/>
        <w:gridCol w:w="1911"/>
      </w:tblGrid>
      <w:tr w:rsidR="00190A8A" w:rsidRPr="00C83CF1" w:rsidTr="00190A8A">
        <w:trPr>
          <w:cantSplit/>
          <w:trHeight w:val="368"/>
        </w:trPr>
        <w:tc>
          <w:tcPr>
            <w:tcW w:w="1485" w:type="dxa"/>
            <w:vMerge w:val="restart"/>
            <w:tcBorders>
              <w:top w:val="single" w:sz="6" w:space="0" w:color="auto"/>
              <w:left w:val="single" w:sz="6" w:space="0" w:color="auto"/>
              <w:bottom w:val="nil"/>
              <w:right w:val="single" w:sz="6" w:space="0" w:color="auto"/>
            </w:tcBorders>
            <w:vAlign w:val="center"/>
          </w:tcPr>
          <w:p w:rsidR="009D61C7" w:rsidRPr="00C83CF1" w:rsidRDefault="009D61C7" w:rsidP="00C83CF1">
            <w:pPr>
              <w:pStyle w:val="ConsPlusCell"/>
              <w:widowControl/>
              <w:jc w:val="center"/>
              <w:rPr>
                <w:rFonts w:ascii="Times New Roman" w:hAnsi="Times New Roman" w:cs="Times New Roman"/>
              </w:rPr>
            </w:pPr>
            <w:r w:rsidRPr="00C83CF1">
              <w:rPr>
                <w:rFonts w:ascii="Times New Roman" w:hAnsi="Times New Roman" w:cs="Times New Roman"/>
              </w:rPr>
              <w:t>Цель,    наименование      расходного</w:t>
            </w:r>
            <w:r w:rsidR="00C83CF1" w:rsidRPr="00C83CF1">
              <w:rPr>
                <w:rFonts w:ascii="Times New Roman" w:hAnsi="Times New Roman" w:cs="Times New Roman"/>
              </w:rPr>
              <w:t xml:space="preserve"> </w:t>
            </w:r>
            <w:r w:rsidRPr="00C83CF1">
              <w:rPr>
                <w:rFonts w:ascii="Times New Roman" w:hAnsi="Times New Roman" w:cs="Times New Roman"/>
              </w:rPr>
              <w:t>полномочия</w:t>
            </w:r>
          </w:p>
        </w:tc>
        <w:tc>
          <w:tcPr>
            <w:tcW w:w="1023" w:type="dxa"/>
            <w:vMerge w:val="restart"/>
            <w:tcBorders>
              <w:top w:val="single" w:sz="6" w:space="0" w:color="auto"/>
              <w:left w:val="single" w:sz="6" w:space="0" w:color="auto"/>
              <w:bottom w:val="nil"/>
              <w:right w:val="single" w:sz="6" w:space="0" w:color="auto"/>
            </w:tcBorders>
            <w:vAlign w:val="center"/>
          </w:tcPr>
          <w:p w:rsidR="009D61C7" w:rsidRPr="00C83CF1" w:rsidRDefault="009D61C7" w:rsidP="00C83CF1">
            <w:pPr>
              <w:pStyle w:val="ConsPlusCell"/>
              <w:widowControl/>
              <w:jc w:val="center"/>
              <w:rPr>
                <w:rFonts w:ascii="Times New Roman" w:hAnsi="Times New Roman" w:cs="Times New Roman"/>
              </w:rPr>
            </w:pPr>
            <w:r w:rsidRPr="00C83CF1">
              <w:rPr>
                <w:rFonts w:ascii="Times New Roman" w:hAnsi="Times New Roman" w:cs="Times New Roman"/>
              </w:rPr>
              <w:t>Код  расхода</w:t>
            </w:r>
            <w:r w:rsidR="00C83CF1">
              <w:rPr>
                <w:rFonts w:ascii="Times New Roman" w:hAnsi="Times New Roman" w:cs="Times New Roman"/>
              </w:rPr>
              <w:t xml:space="preserve"> </w:t>
            </w:r>
            <w:r w:rsidRPr="00C83CF1">
              <w:rPr>
                <w:rFonts w:ascii="Times New Roman" w:hAnsi="Times New Roman" w:cs="Times New Roman"/>
              </w:rPr>
              <w:t>КФСР, КЦСР, КВР,  КОСГУ</w:t>
            </w:r>
          </w:p>
        </w:tc>
        <w:tc>
          <w:tcPr>
            <w:tcW w:w="1744" w:type="dxa"/>
            <w:gridSpan w:val="2"/>
            <w:tcBorders>
              <w:top w:val="single" w:sz="6" w:space="0" w:color="auto"/>
              <w:left w:val="single" w:sz="6" w:space="0" w:color="auto"/>
              <w:bottom w:val="single" w:sz="6" w:space="0" w:color="auto"/>
              <w:right w:val="single" w:sz="6" w:space="0" w:color="auto"/>
            </w:tcBorders>
            <w:vAlign w:val="center"/>
          </w:tcPr>
          <w:p w:rsidR="009D61C7" w:rsidRPr="00C83CF1" w:rsidRDefault="009D61C7" w:rsidP="00190A8A">
            <w:pPr>
              <w:pStyle w:val="ConsPlusCell"/>
              <w:widowControl/>
              <w:jc w:val="center"/>
              <w:rPr>
                <w:rFonts w:ascii="Times New Roman" w:hAnsi="Times New Roman" w:cs="Times New Roman"/>
              </w:rPr>
            </w:pPr>
            <w:r w:rsidRPr="00C83CF1">
              <w:rPr>
                <w:rFonts w:ascii="Times New Roman" w:hAnsi="Times New Roman" w:cs="Times New Roman"/>
              </w:rPr>
              <w:t>Поступило средств</w:t>
            </w:r>
          </w:p>
        </w:tc>
        <w:tc>
          <w:tcPr>
            <w:tcW w:w="1418" w:type="dxa"/>
            <w:vMerge w:val="restart"/>
            <w:tcBorders>
              <w:top w:val="single" w:sz="6" w:space="0" w:color="auto"/>
              <w:left w:val="single" w:sz="6" w:space="0" w:color="auto"/>
              <w:bottom w:val="nil"/>
              <w:right w:val="single" w:sz="6" w:space="0" w:color="auto"/>
            </w:tcBorders>
            <w:vAlign w:val="center"/>
          </w:tcPr>
          <w:p w:rsidR="009D61C7" w:rsidRPr="00C83CF1" w:rsidRDefault="00190A8A" w:rsidP="00C83CF1">
            <w:pPr>
              <w:pStyle w:val="ConsPlusCell"/>
              <w:widowControl/>
              <w:jc w:val="center"/>
              <w:rPr>
                <w:rFonts w:ascii="Times New Roman" w:hAnsi="Times New Roman" w:cs="Times New Roman"/>
              </w:rPr>
            </w:pPr>
            <w:r w:rsidRPr="00C83CF1">
              <w:rPr>
                <w:rFonts w:ascii="Times New Roman" w:hAnsi="Times New Roman" w:cs="Times New Roman"/>
              </w:rPr>
              <w:t>Утверждено</w:t>
            </w:r>
            <w:r w:rsidR="00C83CF1">
              <w:rPr>
                <w:rFonts w:ascii="Times New Roman" w:hAnsi="Times New Roman" w:cs="Times New Roman"/>
              </w:rPr>
              <w:t xml:space="preserve"> </w:t>
            </w:r>
            <w:r w:rsidRPr="00C83CF1">
              <w:rPr>
                <w:rFonts w:ascii="Times New Roman" w:hAnsi="Times New Roman" w:cs="Times New Roman"/>
              </w:rPr>
              <w:t>бюджет</w:t>
            </w:r>
            <w:r w:rsidR="009D61C7" w:rsidRPr="00C83CF1">
              <w:rPr>
                <w:rFonts w:ascii="Times New Roman" w:hAnsi="Times New Roman" w:cs="Times New Roman"/>
              </w:rPr>
              <w:t xml:space="preserve">ных ассигнований,      </w:t>
            </w:r>
            <w:r w:rsidR="009D61C7" w:rsidRPr="00C83CF1">
              <w:rPr>
                <w:rFonts w:ascii="Times New Roman" w:hAnsi="Times New Roman" w:cs="Times New Roman"/>
              </w:rPr>
              <w:br/>
              <w:t>всего</w:t>
            </w:r>
          </w:p>
        </w:tc>
        <w:tc>
          <w:tcPr>
            <w:tcW w:w="1275" w:type="dxa"/>
            <w:vMerge w:val="restart"/>
            <w:tcBorders>
              <w:top w:val="single" w:sz="6" w:space="0" w:color="auto"/>
              <w:left w:val="single" w:sz="6" w:space="0" w:color="auto"/>
              <w:bottom w:val="nil"/>
              <w:right w:val="single" w:sz="6" w:space="0" w:color="auto"/>
            </w:tcBorders>
            <w:vAlign w:val="center"/>
          </w:tcPr>
          <w:p w:rsidR="009D61C7" w:rsidRPr="00C83CF1" w:rsidRDefault="00190A8A" w:rsidP="00C83CF1">
            <w:pPr>
              <w:pStyle w:val="ConsPlusCell"/>
              <w:widowControl/>
              <w:jc w:val="center"/>
              <w:rPr>
                <w:rFonts w:ascii="Times New Roman" w:hAnsi="Times New Roman" w:cs="Times New Roman"/>
              </w:rPr>
            </w:pPr>
            <w:r w:rsidRPr="00C83CF1">
              <w:rPr>
                <w:rFonts w:ascii="Times New Roman" w:hAnsi="Times New Roman" w:cs="Times New Roman"/>
              </w:rPr>
              <w:t>Лимиты  бюджетных</w:t>
            </w:r>
            <w:r w:rsidR="00C83CF1">
              <w:rPr>
                <w:rFonts w:ascii="Times New Roman" w:hAnsi="Times New Roman" w:cs="Times New Roman"/>
              </w:rPr>
              <w:t xml:space="preserve"> </w:t>
            </w:r>
            <w:r w:rsidRPr="00C83CF1">
              <w:rPr>
                <w:rFonts w:ascii="Times New Roman" w:hAnsi="Times New Roman" w:cs="Times New Roman"/>
              </w:rPr>
              <w:t>обяза</w:t>
            </w:r>
            <w:r w:rsidR="009D61C7" w:rsidRPr="00C83CF1">
              <w:rPr>
                <w:rFonts w:ascii="Times New Roman" w:hAnsi="Times New Roman" w:cs="Times New Roman"/>
              </w:rPr>
              <w:t xml:space="preserve">тельств  </w:t>
            </w:r>
            <w:r w:rsidR="009D61C7" w:rsidRPr="00C83CF1">
              <w:rPr>
                <w:rFonts w:ascii="Times New Roman" w:hAnsi="Times New Roman" w:cs="Times New Roman"/>
              </w:rPr>
              <w:br/>
              <w:t>на       отчетный период</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9D61C7" w:rsidRPr="00C83CF1" w:rsidRDefault="009D61C7" w:rsidP="00C83CF1">
            <w:pPr>
              <w:pStyle w:val="ConsPlusCell"/>
              <w:widowControl/>
              <w:jc w:val="center"/>
              <w:rPr>
                <w:rFonts w:ascii="Times New Roman" w:hAnsi="Times New Roman" w:cs="Times New Roman"/>
              </w:rPr>
            </w:pPr>
            <w:r w:rsidRPr="00C83CF1">
              <w:rPr>
                <w:rFonts w:ascii="Times New Roman" w:hAnsi="Times New Roman" w:cs="Times New Roman"/>
              </w:rPr>
              <w:t>Кассовое   исполнение</w:t>
            </w:r>
          </w:p>
        </w:tc>
        <w:tc>
          <w:tcPr>
            <w:tcW w:w="1911" w:type="dxa"/>
            <w:vMerge w:val="restart"/>
            <w:tcBorders>
              <w:top w:val="single" w:sz="6" w:space="0" w:color="auto"/>
              <w:left w:val="single" w:sz="6" w:space="0" w:color="auto"/>
              <w:bottom w:val="nil"/>
              <w:right w:val="single" w:sz="6" w:space="0" w:color="auto"/>
            </w:tcBorders>
            <w:vAlign w:val="center"/>
          </w:tcPr>
          <w:p w:rsidR="009D61C7" w:rsidRPr="00C83CF1" w:rsidRDefault="009D61C7" w:rsidP="00190A8A">
            <w:pPr>
              <w:pStyle w:val="ConsPlusCell"/>
              <w:widowControl/>
              <w:jc w:val="center"/>
              <w:rPr>
                <w:rFonts w:ascii="Times New Roman" w:hAnsi="Times New Roman" w:cs="Times New Roman"/>
              </w:rPr>
            </w:pPr>
            <w:r w:rsidRPr="00C83CF1">
              <w:rPr>
                <w:rFonts w:ascii="Times New Roman" w:hAnsi="Times New Roman" w:cs="Times New Roman"/>
              </w:rPr>
              <w:t xml:space="preserve">Неиспользованные  </w:t>
            </w:r>
            <w:r w:rsidRPr="00C83CF1">
              <w:rPr>
                <w:rFonts w:ascii="Times New Roman" w:hAnsi="Times New Roman" w:cs="Times New Roman"/>
              </w:rPr>
              <w:br/>
              <w:t>назначения</w:t>
            </w:r>
          </w:p>
        </w:tc>
      </w:tr>
      <w:tr w:rsidR="00190A8A" w:rsidRPr="00C83CF1" w:rsidTr="00190A8A">
        <w:trPr>
          <w:cantSplit/>
          <w:trHeight w:val="614"/>
        </w:trPr>
        <w:tc>
          <w:tcPr>
            <w:tcW w:w="1485" w:type="dxa"/>
            <w:vMerge/>
            <w:tcBorders>
              <w:top w:val="nil"/>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023" w:type="dxa"/>
            <w:vMerge/>
            <w:tcBorders>
              <w:top w:val="nil"/>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752" w:type="dxa"/>
            <w:tcBorders>
              <w:top w:val="single" w:sz="6" w:space="0" w:color="auto"/>
              <w:left w:val="single" w:sz="6" w:space="0" w:color="auto"/>
              <w:bottom w:val="single" w:sz="6" w:space="0" w:color="auto"/>
              <w:right w:val="single" w:sz="6" w:space="0" w:color="auto"/>
            </w:tcBorders>
            <w:vAlign w:val="center"/>
          </w:tcPr>
          <w:p w:rsidR="009D61C7" w:rsidRPr="00C83CF1" w:rsidRDefault="009D61C7" w:rsidP="00190A8A">
            <w:pPr>
              <w:pStyle w:val="ConsPlusCell"/>
              <w:widowControl/>
              <w:jc w:val="both"/>
              <w:rPr>
                <w:rFonts w:ascii="Times New Roman" w:hAnsi="Times New Roman" w:cs="Times New Roman"/>
              </w:rPr>
            </w:pPr>
            <w:r w:rsidRPr="00C83CF1">
              <w:rPr>
                <w:rFonts w:ascii="Times New Roman" w:hAnsi="Times New Roman" w:cs="Times New Roman"/>
              </w:rPr>
              <w:t>Всего</w:t>
            </w:r>
          </w:p>
        </w:tc>
        <w:tc>
          <w:tcPr>
            <w:tcW w:w="992" w:type="dxa"/>
            <w:tcBorders>
              <w:top w:val="single" w:sz="6" w:space="0" w:color="auto"/>
              <w:left w:val="single" w:sz="6" w:space="0" w:color="auto"/>
              <w:bottom w:val="single" w:sz="6" w:space="0" w:color="auto"/>
              <w:right w:val="single" w:sz="6" w:space="0" w:color="auto"/>
            </w:tcBorders>
            <w:vAlign w:val="center"/>
          </w:tcPr>
          <w:p w:rsidR="009D61C7" w:rsidRPr="00C83CF1" w:rsidRDefault="009D61C7" w:rsidP="00C83CF1">
            <w:pPr>
              <w:pStyle w:val="ConsPlusCell"/>
              <w:widowControl/>
              <w:jc w:val="center"/>
              <w:rPr>
                <w:rFonts w:ascii="Times New Roman" w:hAnsi="Times New Roman" w:cs="Times New Roman"/>
              </w:rPr>
            </w:pPr>
            <w:r w:rsidRPr="00C83CF1">
              <w:rPr>
                <w:rFonts w:ascii="Times New Roman" w:hAnsi="Times New Roman" w:cs="Times New Roman"/>
              </w:rPr>
              <w:t>в    отчетном</w:t>
            </w:r>
            <w:r w:rsidR="00C83CF1">
              <w:rPr>
                <w:rFonts w:ascii="Times New Roman" w:hAnsi="Times New Roman" w:cs="Times New Roman"/>
              </w:rPr>
              <w:t xml:space="preserve"> </w:t>
            </w:r>
            <w:r w:rsidRPr="00C83CF1">
              <w:rPr>
                <w:rFonts w:ascii="Times New Roman" w:hAnsi="Times New Roman" w:cs="Times New Roman"/>
              </w:rPr>
              <w:t>периоде</w:t>
            </w:r>
          </w:p>
        </w:tc>
        <w:tc>
          <w:tcPr>
            <w:tcW w:w="1418" w:type="dxa"/>
            <w:vMerge/>
            <w:tcBorders>
              <w:top w:val="nil"/>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D61C7" w:rsidRPr="00C83CF1" w:rsidRDefault="009D61C7" w:rsidP="00190A8A">
            <w:pPr>
              <w:pStyle w:val="ConsPlusCell"/>
              <w:widowControl/>
              <w:jc w:val="both"/>
              <w:rPr>
                <w:rFonts w:ascii="Times New Roman" w:hAnsi="Times New Roman" w:cs="Times New Roman"/>
              </w:rPr>
            </w:pPr>
            <w:r w:rsidRPr="00C83CF1">
              <w:rPr>
                <w:rFonts w:ascii="Times New Roman" w:hAnsi="Times New Roman" w:cs="Times New Roman"/>
              </w:rPr>
              <w:t>Всего</w:t>
            </w:r>
          </w:p>
        </w:tc>
        <w:tc>
          <w:tcPr>
            <w:tcW w:w="992" w:type="dxa"/>
            <w:tcBorders>
              <w:top w:val="single" w:sz="6" w:space="0" w:color="auto"/>
              <w:left w:val="single" w:sz="6" w:space="0" w:color="auto"/>
              <w:bottom w:val="single" w:sz="6" w:space="0" w:color="auto"/>
              <w:right w:val="single" w:sz="6" w:space="0" w:color="auto"/>
            </w:tcBorders>
            <w:vAlign w:val="center"/>
          </w:tcPr>
          <w:p w:rsidR="009D61C7" w:rsidRPr="00C83CF1" w:rsidRDefault="009D61C7" w:rsidP="00C83CF1">
            <w:pPr>
              <w:pStyle w:val="ConsPlusCell"/>
              <w:widowControl/>
              <w:jc w:val="center"/>
              <w:rPr>
                <w:rFonts w:ascii="Times New Roman" w:hAnsi="Times New Roman" w:cs="Times New Roman"/>
              </w:rPr>
            </w:pPr>
            <w:r w:rsidRPr="00C83CF1">
              <w:rPr>
                <w:rFonts w:ascii="Times New Roman" w:hAnsi="Times New Roman" w:cs="Times New Roman"/>
              </w:rPr>
              <w:t>в    отчетном</w:t>
            </w:r>
            <w:r w:rsidR="00C83CF1">
              <w:rPr>
                <w:rFonts w:ascii="Times New Roman" w:hAnsi="Times New Roman" w:cs="Times New Roman"/>
              </w:rPr>
              <w:t xml:space="preserve"> </w:t>
            </w:r>
            <w:r w:rsidRPr="00C83CF1">
              <w:rPr>
                <w:rFonts w:ascii="Times New Roman" w:hAnsi="Times New Roman" w:cs="Times New Roman"/>
              </w:rPr>
              <w:t>периоде</w:t>
            </w:r>
          </w:p>
        </w:tc>
        <w:tc>
          <w:tcPr>
            <w:tcW w:w="1911" w:type="dxa"/>
            <w:vMerge/>
            <w:tcBorders>
              <w:top w:val="nil"/>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p>
        </w:tc>
      </w:tr>
      <w:tr w:rsidR="00190A8A" w:rsidRPr="00C83CF1" w:rsidTr="00190A8A">
        <w:trPr>
          <w:cantSplit/>
          <w:trHeight w:val="245"/>
        </w:trPr>
        <w:tc>
          <w:tcPr>
            <w:tcW w:w="1485" w:type="dxa"/>
            <w:tcBorders>
              <w:top w:val="single" w:sz="6" w:space="0" w:color="auto"/>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r w:rsidRPr="00C83CF1">
              <w:rPr>
                <w:rFonts w:ascii="Times New Roman" w:hAnsi="Times New Roman" w:cs="Times New Roman"/>
                <w:sz w:val="24"/>
                <w:szCs w:val="24"/>
              </w:rPr>
              <w:t>1</w:t>
            </w:r>
          </w:p>
        </w:tc>
        <w:tc>
          <w:tcPr>
            <w:tcW w:w="1023" w:type="dxa"/>
            <w:tcBorders>
              <w:top w:val="single" w:sz="6" w:space="0" w:color="auto"/>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r w:rsidRPr="00C83CF1">
              <w:rPr>
                <w:rFonts w:ascii="Times New Roman" w:hAnsi="Times New Roman" w:cs="Times New Roman"/>
                <w:sz w:val="24"/>
                <w:szCs w:val="24"/>
              </w:rPr>
              <w:t>2</w:t>
            </w:r>
          </w:p>
        </w:tc>
        <w:tc>
          <w:tcPr>
            <w:tcW w:w="752" w:type="dxa"/>
            <w:tcBorders>
              <w:top w:val="single" w:sz="6" w:space="0" w:color="auto"/>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r w:rsidRPr="00C83CF1">
              <w:rPr>
                <w:rFonts w:ascii="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r w:rsidRPr="00C83CF1">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r w:rsidRPr="00C83CF1">
              <w:rPr>
                <w:rFonts w:ascii="Times New Roman" w:hAnsi="Times New Roman" w:cs="Times New Roman"/>
                <w:sz w:val="24"/>
                <w:szCs w:val="24"/>
              </w:rPr>
              <w:t>5</w:t>
            </w:r>
          </w:p>
        </w:tc>
        <w:tc>
          <w:tcPr>
            <w:tcW w:w="1275" w:type="dxa"/>
            <w:tcBorders>
              <w:top w:val="single" w:sz="6" w:space="0" w:color="auto"/>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r w:rsidRPr="00C83CF1">
              <w:rPr>
                <w:rFonts w:ascii="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r w:rsidRPr="00C83CF1">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r w:rsidRPr="00C83CF1">
              <w:rPr>
                <w:rFonts w:ascii="Times New Roman" w:hAnsi="Times New Roman" w:cs="Times New Roman"/>
                <w:sz w:val="24"/>
                <w:szCs w:val="24"/>
              </w:rPr>
              <w:t>8</w:t>
            </w:r>
          </w:p>
        </w:tc>
        <w:tc>
          <w:tcPr>
            <w:tcW w:w="1911" w:type="dxa"/>
            <w:tcBorders>
              <w:top w:val="single" w:sz="6" w:space="0" w:color="auto"/>
              <w:left w:val="single" w:sz="6" w:space="0" w:color="auto"/>
              <w:bottom w:val="single" w:sz="6" w:space="0" w:color="auto"/>
              <w:right w:val="single" w:sz="6" w:space="0" w:color="auto"/>
            </w:tcBorders>
            <w:vAlign w:val="center"/>
          </w:tcPr>
          <w:p w:rsidR="009D61C7" w:rsidRPr="00C83CF1" w:rsidRDefault="009D61C7" w:rsidP="009D61C7">
            <w:pPr>
              <w:pStyle w:val="ConsPlusCell"/>
              <w:widowControl/>
              <w:ind w:firstLine="709"/>
              <w:jc w:val="both"/>
              <w:rPr>
                <w:rFonts w:ascii="Times New Roman" w:hAnsi="Times New Roman" w:cs="Times New Roman"/>
                <w:sz w:val="24"/>
                <w:szCs w:val="24"/>
              </w:rPr>
            </w:pPr>
            <w:r w:rsidRPr="00C83CF1">
              <w:rPr>
                <w:rFonts w:ascii="Times New Roman" w:hAnsi="Times New Roman" w:cs="Times New Roman"/>
                <w:sz w:val="24"/>
                <w:szCs w:val="24"/>
              </w:rPr>
              <w:t>9</w:t>
            </w:r>
          </w:p>
        </w:tc>
      </w:tr>
      <w:tr w:rsidR="00190A8A" w:rsidRPr="00C83CF1" w:rsidTr="00190A8A">
        <w:trPr>
          <w:cantSplit/>
          <w:trHeight w:val="245"/>
        </w:trPr>
        <w:tc>
          <w:tcPr>
            <w:tcW w:w="1485"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023"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752"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911"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r>
      <w:tr w:rsidR="00190A8A" w:rsidRPr="00C83CF1" w:rsidTr="00190A8A">
        <w:trPr>
          <w:cantSplit/>
          <w:trHeight w:val="245"/>
        </w:trPr>
        <w:tc>
          <w:tcPr>
            <w:tcW w:w="1485"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023"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752"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911"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r>
      <w:tr w:rsidR="00190A8A" w:rsidRPr="00C83CF1" w:rsidTr="00190A8A">
        <w:trPr>
          <w:cantSplit/>
          <w:trHeight w:val="245"/>
        </w:trPr>
        <w:tc>
          <w:tcPr>
            <w:tcW w:w="1485"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023"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752"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911"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r>
      <w:tr w:rsidR="00190A8A" w:rsidRPr="00C83CF1" w:rsidTr="00190A8A">
        <w:trPr>
          <w:cantSplit/>
          <w:trHeight w:val="245"/>
        </w:trPr>
        <w:tc>
          <w:tcPr>
            <w:tcW w:w="1485"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r w:rsidRPr="00C83CF1">
              <w:rPr>
                <w:rFonts w:ascii="Times New Roman" w:hAnsi="Times New Roman" w:cs="Times New Roman"/>
                <w:sz w:val="24"/>
                <w:szCs w:val="24"/>
              </w:rPr>
              <w:t xml:space="preserve">Итого     </w:t>
            </w:r>
          </w:p>
        </w:tc>
        <w:tc>
          <w:tcPr>
            <w:tcW w:w="1023"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752"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c>
          <w:tcPr>
            <w:tcW w:w="1911" w:type="dxa"/>
            <w:tcBorders>
              <w:top w:val="single" w:sz="6" w:space="0" w:color="auto"/>
              <w:left w:val="single" w:sz="6" w:space="0" w:color="auto"/>
              <w:bottom w:val="single" w:sz="6" w:space="0" w:color="auto"/>
              <w:right w:val="single" w:sz="6" w:space="0" w:color="auto"/>
            </w:tcBorders>
          </w:tcPr>
          <w:p w:rsidR="009D61C7" w:rsidRPr="00C83CF1" w:rsidRDefault="009D61C7" w:rsidP="009D61C7">
            <w:pPr>
              <w:pStyle w:val="ConsPlusCell"/>
              <w:widowControl/>
              <w:ind w:firstLine="709"/>
              <w:jc w:val="both"/>
              <w:rPr>
                <w:rFonts w:ascii="Times New Roman" w:hAnsi="Times New Roman" w:cs="Times New Roman"/>
                <w:sz w:val="24"/>
                <w:szCs w:val="24"/>
              </w:rPr>
            </w:pPr>
          </w:p>
        </w:tc>
      </w:tr>
    </w:tbl>
    <w:p w:rsidR="009D61C7" w:rsidRPr="009D61C7" w:rsidRDefault="009D61C7" w:rsidP="009D61C7">
      <w:pPr>
        <w:autoSpaceDE w:val="0"/>
        <w:autoSpaceDN w:val="0"/>
        <w:adjustRightInd w:val="0"/>
        <w:spacing w:after="0" w:line="240" w:lineRule="auto"/>
        <w:ind w:firstLine="709"/>
        <w:jc w:val="both"/>
        <w:rPr>
          <w:rFonts w:ascii="Times New Roman" w:hAnsi="Times New Roman" w:cs="Times New Roman"/>
        </w:rPr>
      </w:pPr>
    </w:p>
    <w:p w:rsidR="009D61C7" w:rsidRPr="009D61C7" w:rsidRDefault="009D61C7" w:rsidP="009D61C7">
      <w:pPr>
        <w:autoSpaceDE w:val="0"/>
        <w:autoSpaceDN w:val="0"/>
        <w:adjustRightInd w:val="0"/>
        <w:spacing w:after="0" w:line="240" w:lineRule="auto"/>
        <w:ind w:firstLine="709"/>
        <w:jc w:val="both"/>
        <w:rPr>
          <w:rFonts w:ascii="Times New Roman" w:hAnsi="Times New Roman" w:cs="Times New Roman"/>
        </w:rPr>
      </w:pPr>
    </w:p>
    <w:p w:rsidR="009D61C7" w:rsidRPr="009D61C7" w:rsidRDefault="009D61C7" w:rsidP="009D61C7">
      <w:pPr>
        <w:pStyle w:val="ConsPlusNonformat"/>
        <w:widowControl/>
        <w:ind w:firstLine="709"/>
        <w:jc w:val="both"/>
        <w:rPr>
          <w:rFonts w:ascii="Times New Roman" w:hAnsi="Times New Roman" w:cs="Times New Roman"/>
          <w:sz w:val="22"/>
          <w:szCs w:val="22"/>
        </w:rPr>
      </w:pPr>
      <w:r w:rsidRPr="009D61C7">
        <w:rPr>
          <w:rFonts w:ascii="Times New Roman" w:hAnsi="Times New Roman" w:cs="Times New Roman"/>
          <w:sz w:val="22"/>
          <w:szCs w:val="22"/>
        </w:rPr>
        <w:t xml:space="preserve">   </w:t>
      </w:r>
    </w:p>
    <w:p w:rsidR="009D61C7" w:rsidRPr="009D61C7" w:rsidRDefault="009D61C7" w:rsidP="009D61C7">
      <w:pPr>
        <w:pStyle w:val="ConsPlusNonformat"/>
        <w:widowControl/>
        <w:ind w:firstLine="709"/>
        <w:jc w:val="both"/>
        <w:rPr>
          <w:rFonts w:ascii="Times New Roman" w:hAnsi="Times New Roman" w:cs="Times New Roman"/>
          <w:sz w:val="22"/>
          <w:szCs w:val="22"/>
        </w:rPr>
      </w:pPr>
      <w:r w:rsidRPr="00C83CF1">
        <w:rPr>
          <w:rFonts w:ascii="Times New Roman" w:hAnsi="Times New Roman" w:cs="Times New Roman"/>
          <w:sz w:val="24"/>
          <w:szCs w:val="24"/>
        </w:rPr>
        <w:t xml:space="preserve"> Глава муниципального образования «Мирнинский район»</w:t>
      </w:r>
      <w:r w:rsidRPr="009D61C7">
        <w:rPr>
          <w:rFonts w:ascii="Times New Roman" w:hAnsi="Times New Roman" w:cs="Times New Roman"/>
          <w:sz w:val="22"/>
          <w:szCs w:val="22"/>
        </w:rPr>
        <w:t xml:space="preserve">____________________ </w:t>
      </w:r>
    </w:p>
    <w:p w:rsidR="009D61C7" w:rsidRPr="00C83CF1" w:rsidRDefault="009D61C7" w:rsidP="009D61C7">
      <w:pPr>
        <w:pStyle w:val="ConsPlusNonformat"/>
        <w:widowControl/>
        <w:ind w:firstLine="709"/>
        <w:jc w:val="both"/>
        <w:rPr>
          <w:rFonts w:ascii="Times New Roman" w:hAnsi="Times New Roman" w:cs="Times New Roman"/>
          <w:sz w:val="18"/>
          <w:szCs w:val="18"/>
        </w:rPr>
      </w:pPr>
      <w:r w:rsidRPr="009D61C7">
        <w:rPr>
          <w:rFonts w:ascii="Times New Roman" w:hAnsi="Times New Roman" w:cs="Times New Roman"/>
          <w:sz w:val="22"/>
          <w:szCs w:val="22"/>
        </w:rPr>
        <w:t xml:space="preserve">                          </w:t>
      </w:r>
      <w:r w:rsidRPr="009D61C7">
        <w:rPr>
          <w:rFonts w:ascii="Times New Roman" w:hAnsi="Times New Roman" w:cs="Times New Roman"/>
          <w:sz w:val="22"/>
          <w:szCs w:val="22"/>
        </w:rPr>
        <w:tab/>
      </w:r>
      <w:r w:rsidRPr="009D61C7">
        <w:rPr>
          <w:rFonts w:ascii="Times New Roman" w:hAnsi="Times New Roman" w:cs="Times New Roman"/>
          <w:sz w:val="22"/>
          <w:szCs w:val="22"/>
        </w:rPr>
        <w:tab/>
      </w:r>
      <w:r w:rsidRPr="009D61C7">
        <w:rPr>
          <w:rFonts w:ascii="Times New Roman" w:hAnsi="Times New Roman" w:cs="Times New Roman"/>
          <w:sz w:val="22"/>
          <w:szCs w:val="22"/>
        </w:rPr>
        <w:tab/>
        <w:t xml:space="preserve">                                                </w:t>
      </w:r>
      <w:r w:rsidR="00C83CF1">
        <w:rPr>
          <w:rFonts w:ascii="Times New Roman" w:hAnsi="Times New Roman" w:cs="Times New Roman"/>
          <w:sz w:val="22"/>
          <w:szCs w:val="22"/>
        </w:rPr>
        <w:t xml:space="preserve">          </w:t>
      </w:r>
      <w:r w:rsidRPr="00C83CF1">
        <w:rPr>
          <w:rFonts w:ascii="Times New Roman" w:hAnsi="Times New Roman" w:cs="Times New Roman"/>
          <w:sz w:val="18"/>
          <w:szCs w:val="18"/>
        </w:rPr>
        <w:t>подпись</w:t>
      </w:r>
    </w:p>
    <w:p w:rsidR="009D61C7" w:rsidRPr="009D61C7" w:rsidRDefault="009D61C7" w:rsidP="009D61C7">
      <w:pPr>
        <w:pStyle w:val="ConsPlusNonformat"/>
        <w:widowControl/>
        <w:ind w:firstLine="709"/>
        <w:jc w:val="both"/>
        <w:rPr>
          <w:rFonts w:ascii="Times New Roman" w:hAnsi="Times New Roman" w:cs="Times New Roman"/>
          <w:sz w:val="22"/>
          <w:szCs w:val="22"/>
        </w:rPr>
      </w:pPr>
      <w:r w:rsidRPr="009D61C7">
        <w:rPr>
          <w:rFonts w:ascii="Times New Roman" w:hAnsi="Times New Roman" w:cs="Times New Roman"/>
          <w:sz w:val="22"/>
          <w:szCs w:val="22"/>
        </w:rPr>
        <w:t xml:space="preserve">   </w:t>
      </w:r>
    </w:p>
    <w:p w:rsidR="00635963" w:rsidRPr="009D61C7" w:rsidRDefault="00635963" w:rsidP="009D61C7">
      <w:pPr>
        <w:spacing w:after="0" w:line="240" w:lineRule="auto"/>
        <w:ind w:firstLine="709"/>
        <w:jc w:val="both"/>
        <w:rPr>
          <w:rFonts w:ascii="Times New Roman" w:hAnsi="Times New Roman" w:cs="Times New Roman"/>
        </w:rPr>
      </w:pPr>
    </w:p>
    <w:sectPr w:rsidR="00635963" w:rsidRPr="009D61C7" w:rsidSect="00C83CF1">
      <w:footerReference w:type="default" r:id="rId7"/>
      <w:pgSz w:w="11906" w:h="16838"/>
      <w:pgMar w:top="567" w:right="56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86" w:rsidRDefault="00192A86" w:rsidP="00203B80">
      <w:pPr>
        <w:spacing w:after="0" w:line="240" w:lineRule="auto"/>
      </w:pPr>
      <w:r>
        <w:separator/>
      </w:r>
    </w:p>
  </w:endnote>
  <w:endnote w:type="continuationSeparator" w:id="0">
    <w:p w:rsidR="00192A86" w:rsidRDefault="00192A86" w:rsidP="00203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6342"/>
      <w:docPartObj>
        <w:docPartGallery w:val="Page Numbers (Bottom of Page)"/>
        <w:docPartUnique/>
      </w:docPartObj>
    </w:sdtPr>
    <w:sdtContent>
      <w:p w:rsidR="00203B80" w:rsidRDefault="00627D91">
        <w:pPr>
          <w:pStyle w:val="a5"/>
          <w:jc w:val="right"/>
        </w:pPr>
        <w:fldSimple w:instr=" PAGE   \* MERGEFORMAT ">
          <w:r w:rsidR="00E14A14">
            <w:rPr>
              <w:noProof/>
            </w:rPr>
            <w:t>2</w:t>
          </w:r>
        </w:fldSimple>
      </w:p>
    </w:sdtContent>
  </w:sdt>
  <w:p w:rsidR="00203B80" w:rsidRDefault="00203B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86" w:rsidRDefault="00192A86" w:rsidP="00203B80">
      <w:pPr>
        <w:spacing w:after="0" w:line="240" w:lineRule="auto"/>
      </w:pPr>
      <w:r>
        <w:separator/>
      </w:r>
    </w:p>
  </w:footnote>
  <w:footnote w:type="continuationSeparator" w:id="0">
    <w:p w:rsidR="00192A86" w:rsidRDefault="00192A86" w:rsidP="00203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A6EBB"/>
    <w:multiLevelType w:val="multilevel"/>
    <w:tmpl w:val="7FA0BB6A"/>
    <w:lvl w:ilvl="0">
      <w:start w:val="2"/>
      <w:numFmt w:val="decimal"/>
      <w:lvlText w:val="%1"/>
      <w:lvlJc w:val="left"/>
      <w:pPr>
        <w:ind w:left="576" w:hanging="576"/>
      </w:pPr>
      <w:rPr>
        <w:rFonts w:hint="default"/>
      </w:rPr>
    </w:lvl>
    <w:lvl w:ilvl="1">
      <w:start w:val="1"/>
      <w:numFmt w:val="decimal"/>
      <w:lvlText w:val="%1.%2"/>
      <w:lvlJc w:val="left"/>
      <w:pPr>
        <w:ind w:left="1001" w:hanging="576"/>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7D5A32F8"/>
    <w:multiLevelType w:val="multilevel"/>
    <w:tmpl w:val="23D03974"/>
    <w:lvl w:ilvl="0">
      <w:start w:val="1"/>
      <w:numFmt w:val="decimal"/>
      <w:lvlText w:val="%1."/>
      <w:lvlJc w:val="left"/>
      <w:pPr>
        <w:ind w:left="1350" w:hanging="1350"/>
      </w:pPr>
      <w:rPr>
        <w:rFonts w:hint="default"/>
      </w:rPr>
    </w:lvl>
    <w:lvl w:ilvl="1">
      <w:start w:val="1"/>
      <w:numFmt w:val="decimal"/>
      <w:lvlText w:val="%1.%2."/>
      <w:lvlJc w:val="left"/>
      <w:pPr>
        <w:ind w:left="2550"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61C7"/>
    <w:rsid w:val="00190A8A"/>
    <w:rsid w:val="00192A86"/>
    <w:rsid w:val="00203B80"/>
    <w:rsid w:val="002E0C8C"/>
    <w:rsid w:val="004F0ACB"/>
    <w:rsid w:val="00575FEA"/>
    <w:rsid w:val="005F2B26"/>
    <w:rsid w:val="005F784C"/>
    <w:rsid w:val="00627D91"/>
    <w:rsid w:val="00635963"/>
    <w:rsid w:val="006B6F10"/>
    <w:rsid w:val="009011F0"/>
    <w:rsid w:val="0097770B"/>
    <w:rsid w:val="009D61C7"/>
    <w:rsid w:val="00AA3808"/>
    <w:rsid w:val="00AF51FE"/>
    <w:rsid w:val="00C5429C"/>
    <w:rsid w:val="00C83CF1"/>
    <w:rsid w:val="00C86EC9"/>
    <w:rsid w:val="00D22505"/>
    <w:rsid w:val="00E14A14"/>
    <w:rsid w:val="00E71C0A"/>
    <w:rsid w:val="00EA6A27"/>
    <w:rsid w:val="00EC4F6B"/>
    <w:rsid w:val="00F53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D61C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D61C7"/>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9D61C7"/>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semiHidden/>
    <w:unhideWhenUsed/>
    <w:rsid w:val="00203B8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03B80"/>
  </w:style>
  <w:style w:type="paragraph" w:styleId="a5">
    <w:name w:val="footer"/>
    <w:basedOn w:val="a"/>
    <w:link w:val="a6"/>
    <w:uiPriority w:val="99"/>
    <w:unhideWhenUsed/>
    <w:rsid w:val="00203B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3B80"/>
  </w:style>
  <w:style w:type="paragraph" w:styleId="a7">
    <w:name w:val="Balloon Text"/>
    <w:basedOn w:val="a"/>
    <w:link w:val="a8"/>
    <w:uiPriority w:val="99"/>
    <w:semiHidden/>
    <w:unhideWhenUsed/>
    <w:rsid w:val="009777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7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Company>DG Win&amp;Soft</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Cab-102-2</dc:creator>
  <cp:lastModifiedBy>Еремина</cp:lastModifiedBy>
  <cp:revision>2</cp:revision>
  <cp:lastPrinted>2011-12-21T00:07:00Z</cp:lastPrinted>
  <dcterms:created xsi:type="dcterms:W3CDTF">2020-11-23T01:04:00Z</dcterms:created>
  <dcterms:modified xsi:type="dcterms:W3CDTF">2020-11-23T01:04:00Z</dcterms:modified>
</cp:coreProperties>
</file>