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51" w:rsidRDefault="00DE37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3751" w:rsidRDefault="00DE3751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37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3751" w:rsidRDefault="00DE3751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DE3751" w:rsidRDefault="00DE3751">
      <w:pPr>
        <w:pStyle w:val="ConsPlusTitle"/>
        <w:spacing w:before="280"/>
        <w:jc w:val="center"/>
      </w:pPr>
      <w:r>
        <w:t>КАКИЕ ЛЬГОТЫ ПРЕДУСМОТРЕНЫ ПРИ УПЛАТЕ ГОСПОШЛИНЫ?</w:t>
      </w:r>
    </w:p>
    <w:p w:rsidR="00DE3751" w:rsidRDefault="00DE3751">
      <w:pPr>
        <w:pStyle w:val="ConsPlusNormal"/>
        <w:jc w:val="both"/>
      </w:pPr>
    </w:p>
    <w:p w:rsidR="00DE3751" w:rsidRDefault="00DE3751">
      <w:pPr>
        <w:pStyle w:val="ConsPlusNormal"/>
        <w:ind w:firstLine="540"/>
        <w:jc w:val="both"/>
      </w:pPr>
      <w:r>
        <w:t>Льготы по госпошлине зависят от категории плательщика (авторы культурных ценностей, Герои Советского Союза, Герои РФ, ветераны и инвалиды ВОВ и т.д.) и от вида юридически значимых действий, за которые взимается госпошлина (обращение в суд, обращение за совершением нотариальных действий, регистрация актов гражданского состояния). В отдельных случаях в связи с тяжелым финансовым положением возможны снижение размера госпошлины или освобождение от ее уплаты, а также отсрочка или рассрочка уплаты.</w:t>
      </w:r>
    </w:p>
    <w:p w:rsidR="00DE3751" w:rsidRDefault="00DE3751">
      <w:pPr>
        <w:pStyle w:val="ConsPlusNormal"/>
        <w:jc w:val="both"/>
      </w:pPr>
    </w:p>
    <w:p w:rsidR="00DE3751" w:rsidRDefault="00DE3751">
      <w:pPr>
        <w:pStyle w:val="ConsPlusNormal"/>
        <w:ind w:firstLine="540"/>
        <w:jc w:val="both"/>
        <w:outlineLvl w:val="0"/>
      </w:pPr>
      <w:r>
        <w:rPr>
          <w:b/>
        </w:rPr>
        <w:t>1. Освобождение от уплаты госпошлины отдельных категорий плательщиков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На предоставление льготы по госпошлине влияет не только отнесение граждан к определенной категории, но и те действия, которые данные граждане совершают. Например, от уплаты госпошлины освобождаются (</w:t>
      </w:r>
      <w:proofErr w:type="spellStart"/>
      <w:r w:rsidR="00440F42">
        <w:fldChar w:fldCharType="begin"/>
      </w:r>
      <w:r w:rsidR="00440F42">
        <w:instrText xml:space="preserve"> HYPERLINK "consultantplus://offline/ref=31F1A85A35FC53C111B3E4CA0BA3F4</w:instrText>
      </w:r>
      <w:r w:rsidR="00440F42">
        <w:instrText xml:space="preserve">10C1AE89EB5296B09FF3ACDD2FF2CBF913890F9A7C89CCIBZDF" </w:instrText>
      </w:r>
      <w:r w:rsidR="00440F42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9</w:t>
      </w:r>
      <w:r w:rsidR="00440F42">
        <w:rPr>
          <w:color w:val="0000FF"/>
        </w:rPr>
        <w:fldChar w:fldCharType="end"/>
      </w:r>
      <w:r>
        <w:t xml:space="preserve">, </w:t>
      </w:r>
      <w:hyperlink r:id="rId5" w:history="1">
        <w:r>
          <w:rPr>
            <w:color w:val="0000FF"/>
          </w:rPr>
          <w:t>11</w:t>
        </w:r>
      </w:hyperlink>
      <w:r>
        <w:t xml:space="preserve">, </w:t>
      </w:r>
      <w:hyperlink r:id="rId6" w:history="1">
        <w:r>
          <w:rPr>
            <w:color w:val="0000FF"/>
          </w:rPr>
          <w:t>12</w:t>
        </w:r>
      </w:hyperlink>
      <w:r>
        <w:t xml:space="preserve">, </w:t>
      </w:r>
      <w:hyperlink r:id="rId7" w:history="1">
        <w:r>
          <w:rPr>
            <w:color w:val="0000FF"/>
          </w:rPr>
          <w:t>14</w:t>
        </w:r>
      </w:hyperlink>
      <w:r>
        <w:t xml:space="preserve"> - </w:t>
      </w:r>
      <w:hyperlink r:id="rId8" w:history="1">
        <w:r>
          <w:rPr>
            <w:color w:val="0000FF"/>
          </w:rPr>
          <w:t>16 п. 1</w:t>
        </w:r>
      </w:hyperlink>
      <w:r>
        <w:t xml:space="preserve">,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9</w:t>
        </w:r>
      </w:hyperlink>
      <w:r>
        <w:t xml:space="preserve">, </w:t>
      </w:r>
      <w:hyperlink r:id="rId10" w:history="1">
        <w:r>
          <w:rPr>
            <w:color w:val="0000FF"/>
          </w:rPr>
          <w:t>29</w:t>
        </w:r>
      </w:hyperlink>
      <w:r>
        <w:t xml:space="preserve"> - </w:t>
      </w:r>
      <w:hyperlink r:id="rId11" w:history="1">
        <w:r>
          <w:rPr>
            <w:color w:val="0000FF"/>
          </w:rPr>
          <w:t>31 п. 3 ст. 333.35</w:t>
        </w:r>
      </w:hyperlink>
      <w:r>
        <w:t xml:space="preserve"> НК РФ):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1) авторы культурных ценностей - за выдачу заключения (разрешительного документа) на вывоз или временный вывоз культурных ценностей;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2) Герои Советского Союза, Герои РФ и полные кавалеры ордена Славы - по делам, рассматриваемым судами общей юрисдикции, арбитражными судами, мировыми судьями, Верховным Судом РФ, Конституционным Судом РФ, при обращении в органы или к должностным лицам, которые совершают нотариальные действия, и в органы, которые осуществляют госрегистрацию актов гражданского состояния;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3) ветераны и инвалиды ВОВ, бывшие военнопленные во время ВОВ - при их обращении за совершением юридически значимых действий;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4) граждане РФ, являющиеся единственными авторами программы для ЭВМ, базы данных, топологии интегральной микросхемы и правообладателями на нее, испрашивающие свидетельство о регистрации на свое имя, если такие граждане являются инвалидами, обучающимся в образовательной организации, - за совершение большей части регистрационных действий;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5) дети-сироты и дети, оставшиеся без попечения родителей, - за выдачу паспорта гражданина РФ;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6) лица, признанные гражданами РФ в связи с включением в состав России Республики Крым и г. Севастополя, - за замену определенных документов;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7) малоимущие граждане - за государственную регистрацию прав на недвижимое имущество, договоров об отчуждении недвижимого имущества;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8) физические лица, пострадавшие в результате чрезвычайной ситуации, - при обращении за получением паспорта гражданина РФ взамен утраченного или пришедшего в негодность вследствие такой чрезвычайной ситуации.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 xml:space="preserve">Основанием для предоставления льготы, связанной с личностью гражданина, является документ, подтверждающий, что гражданин относится к категории лиц, которым предоставлена такая льгота (соответствующее удостоверение, справка медико-социальной экспертизы, документ, выданный образовательной организацией, решение уполномоченного органа о признании </w:t>
      </w:r>
      <w:r>
        <w:lastRenderedPageBreak/>
        <w:t>гражданина малоимущим) (</w:t>
      </w:r>
      <w:hyperlink r:id="rId12" w:history="1">
        <w:r>
          <w:rPr>
            <w:color w:val="0000FF"/>
          </w:rPr>
          <w:t>п. 2 ст. 333.35</w:t>
        </w:r>
      </w:hyperlink>
      <w:r>
        <w:t xml:space="preserve"> НК РФ).</w:t>
      </w:r>
    </w:p>
    <w:p w:rsidR="00DE3751" w:rsidRDefault="00DE3751">
      <w:pPr>
        <w:pStyle w:val="ConsPlusNormal"/>
        <w:jc w:val="both"/>
      </w:pPr>
    </w:p>
    <w:p w:rsidR="00DE3751" w:rsidRDefault="00DE3751">
      <w:pPr>
        <w:pStyle w:val="ConsPlusNormal"/>
        <w:ind w:firstLine="540"/>
        <w:jc w:val="both"/>
        <w:outlineLvl w:val="0"/>
      </w:pPr>
      <w:r>
        <w:rPr>
          <w:b/>
        </w:rPr>
        <w:t>2. Льготы в зависимости от вида юридически значимых действий, за которые взимается госпошлина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Можно выделить три вида действий, при совершении которых для граждан предусмотрены льготы по уплате госпошлины (</w:t>
      </w:r>
      <w:hyperlink r:id="rId13" w:history="1">
        <w:r>
          <w:rPr>
            <w:color w:val="0000FF"/>
          </w:rPr>
          <w:t>п. п. 3</w:t>
        </w:r>
      </w:hyperlink>
      <w:r>
        <w:t xml:space="preserve"> - </w:t>
      </w:r>
      <w:hyperlink r:id="rId14" w:history="1">
        <w:r>
          <w:rPr>
            <w:color w:val="0000FF"/>
          </w:rPr>
          <w:t>4 ст. 333.23</w:t>
        </w:r>
      </w:hyperlink>
      <w:r>
        <w:t xml:space="preserve">, </w:t>
      </w:r>
      <w:hyperlink r:id="rId15" w:history="1">
        <w:r>
          <w:rPr>
            <w:color w:val="0000FF"/>
          </w:rPr>
          <w:t>ст. ст. 333.35</w:t>
        </w:r>
      </w:hyperlink>
      <w:r>
        <w:t xml:space="preserve"> - </w:t>
      </w:r>
      <w:hyperlink r:id="rId16" w:history="1">
        <w:r>
          <w:rPr>
            <w:color w:val="0000FF"/>
          </w:rPr>
          <w:t>333.39</w:t>
        </w:r>
      </w:hyperlink>
      <w:r>
        <w:t xml:space="preserve"> НК РФ):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1) обращение в суд общей юрисдикции, к мировому судье, в арбитражный суд, Верховный Суд РФ или Конституционный Суд РФ;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2) обращение за совершением нотариальных действий;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3) регистрация актов гражданского состояния и совершение других юридически значимых действий, совершаемых органами ЗАГС и иными уполномоченными органами.</w:t>
      </w:r>
    </w:p>
    <w:p w:rsidR="00DE3751" w:rsidRDefault="00DE3751">
      <w:pPr>
        <w:pStyle w:val="ConsPlusNormal"/>
        <w:jc w:val="both"/>
      </w:pPr>
    </w:p>
    <w:p w:rsidR="00DE3751" w:rsidRDefault="00DE3751">
      <w:pPr>
        <w:pStyle w:val="ConsPlusNormal"/>
        <w:ind w:firstLine="540"/>
        <w:jc w:val="both"/>
        <w:outlineLvl w:val="1"/>
      </w:pPr>
      <w:r>
        <w:rPr>
          <w:b/>
        </w:rPr>
        <w:t>2.1. Льготы при обращении в суды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Перечень таких льгот довольно обширен. В качестве примера можно привести следующие случаи освобождения от уплаты госпошлины по делам, рассматриваемым в судах общей юрисдикции, мировыми судьями, в Верховном Суде РФ и Конституционный Суд РФ: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1) в зависимости от предмета обращения - истцы по искам (</w:t>
      </w:r>
      <w:proofErr w:type="spellStart"/>
      <w:r w:rsidR="00440F42">
        <w:fldChar w:fldCharType="begin"/>
      </w:r>
      <w:r w:rsidR="00440F42">
        <w:instrText xml:space="preserve"> HYPERLINK "consultantplus://offline/ref=31F1A85A35FC53C111B3E4CA0BA3F410C1AE89EB5296B</w:instrText>
      </w:r>
      <w:r w:rsidR="00440F42">
        <w:instrText xml:space="preserve">09FF3ACDD2FF2CBF913890F9A7C89CAIBZDF" </w:instrText>
      </w:r>
      <w:r w:rsidR="00440F42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</w:t>
      </w:r>
      <w:r w:rsidR="00440F42">
        <w:rPr>
          <w:color w:val="0000FF"/>
        </w:rPr>
        <w:fldChar w:fldCharType="end"/>
      </w:r>
      <w:r>
        <w:t xml:space="preserve"> - </w:t>
      </w:r>
      <w:hyperlink r:id="rId17" w:history="1">
        <w:r>
          <w:rPr>
            <w:color w:val="0000FF"/>
          </w:rPr>
          <w:t>4</w:t>
        </w:r>
      </w:hyperlink>
      <w:r>
        <w:t xml:space="preserve">, </w:t>
      </w:r>
      <w:hyperlink r:id="rId18" w:history="1">
        <w:r>
          <w:rPr>
            <w:color w:val="0000FF"/>
          </w:rPr>
          <w:t>10</w:t>
        </w:r>
      </w:hyperlink>
      <w:r>
        <w:t xml:space="preserve">, </w:t>
      </w:r>
      <w:hyperlink r:id="rId19" w:history="1">
        <w:r>
          <w:rPr>
            <w:color w:val="0000FF"/>
          </w:rPr>
          <w:t>15 п. 1 ст. 333.36</w:t>
        </w:r>
      </w:hyperlink>
      <w:r>
        <w:t xml:space="preserve"> НК РФ):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о взыскании заработной платы (денежного содержания) и иным требованиям, вытекающим из трудовых правоотношений, о взыскании пособий;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взыскании алиментов;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возмещении вреда, причиненного увечьем или иным повреждением здоровья, а также смертью кормильца;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возмещении имущественного и (или) морального вреда, причиненного преступлением;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по делам о защите прав и законных интересов ребенка;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2) в зависимости от заявителя (истца, административного истца) и предмета его обращения (</w:t>
      </w:r>
      <w:proofErr w:type="spellStart"/>
      <w:r w:rsidR="00440F42">
        <w:fldChar w:fldCharType="begin"/>
      </w:r>
      <w:r w:rsidR="00440F42">
        <w:instrText xml:space="preserve"> HYPERLINK "consultantplus://offline/ref=31F1A85A35FC53C111B3E4CA0BA3F410C1AE89EB5296B09FF3ACDD2FF2CBF913890F9A7C89C9IBZ0F" </w:instrText>
      </w:r>
      <w:r w:rsidR="00440F42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11</w:t>
      </w:r>
      <w:r w:rsidR="00440F42">
        <w:rPr>
          <w:color w:val="0000FF"/>
        </w:rPr>
        <w:fldChar w:fldCharType="end"/>
      </w:r>
      <w:r>
        <w:t xml:space="preserve"> - </w:t>
      </w:r>
      <w:hyperlink r:id="rId20" w:history="1">
        <w:r>
          <w:rPr>
            <w:color w:val="0000FF"/>
          </w:rPr>
          <w:t>14</w:t>
        </w:r>
      </w:hyperlink>
      <w:r>
        <w:t xml:space="preserve">, </w:t>
      </w:r>
      <w:hyperlink r:id="rId21" w:history="1">
        <w:r>
          <w:rPr>
            <w:color w:val="0000FF"/>
          </w:rPr>
          <w:t>18 п. 1 ст. 333.36</w:t>
        </w:r>
      </w:hyperlink>
      <w:r>
        <w:t xml:space="preserve"> НК РФ):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вынужденные переселенцы и беженцы - при подаче административных исковых заявлений об оспаривании отказа в регистрации ходатайства о признании их вынужденными переселенцами или беженцами;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физлица, планирующие усыновить ребенка, - при подаче в суд заявлений об усыновлении и (или) удочерении ребенка;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административные истцы - по административным делам о принудительной госпитализации гражданина в психиатрический стационар и (или) принудительном психиатрическом освидетельствовании;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3) при цене иска до 1 млн руб.: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инвалиды I и II группы;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ветераны ВОВ, боевых действий, военной службы, обращающиеся за защитой своих прав, установленных законодательством о ветеранах;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lastRenderedPageBreak/>
        <w:t>- физлица по искам, связанным с нарушением прав потребителей;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пенсионеры - по искам имущественного характера, по административным искам имущественного характера к ПФР, НПФ либо к федеральным органам исполнительной власти, осуществляющим пенсионное обеспечение лиц, проходивших военную службу.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Если цена иска превышает 1 млн руб., указанные плательщики уплачивают госпошлину в сумме, исчисленной исходя из цены иска и уменьшенной на сумму госпошлины, подлежащей уплате при цене иска 1 млн руб. (</w:t>
      </w:r>
      <w:hyperlink r:id="rId22" w:history="1">
        <w:r>
          <w:rPr>
            <w:color w:val="0000FF"/>
          </w:rPr>
          <w:t>п. п. 2</w:t>
        </w:r>
      </w:hyperlink>
      <w:r>
        <w:t xml:space="preserve">, </w:t>
      </w:r>
      <w:hyperlink r:id="rId23" w:history="1">
        <w:r>
          <w:rPr>
            <w:color w:val="0000FF"/>
          </w:rPr>
          <w:t>3 ст. 333.36</w:t>
        </w:r>
      </w:hyperlink>
      <w:r>
        <w:t xml:space="preserve"> НК РФ).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При обращении в арбитражный суд от уплаты госпошлины освобождены, например, истцы (</w:t>
      </w:r>
      <w:proofErr w:type="spellStart"/>
      <w:r w:rsidR="00440F42">
        <w:fldChar w:fldCharType="begin"/>
      </w:r>
      <w:r w:rsidR="00440F42">
        <w:instrText xml:space="preserve"> HYPERLINK "consultantplus://offline/ref=31F1A85A35FC53C111B3E4CA0BA3F410C1AE89EB5296B09F</w:instrText>
      </w:r>
      <w:r w:rsidR="00440F42">
        <w:instrText xml:space="preserve">F3ACDD2FF2CBF913890F9A7C89C7IBZFF" </w:instrText>
      </w:r>
      <w:r w:rsidR="00440F42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2 п. 1 ст. 333.37</w:t>
      </w:r>
      <w:r w:rsidR="00440F42">
        <w:rPr>
          <w:color w:val="0000FF"/>
        </w:rPr>
        <w:fldChar w:fldCharType="end"/>
      </w:r>
      <w:r>
        <w:t xml:space="preserve">, </w:t>
      </w:r>
      <w:hyperlink r:id="rId24" w:history="1">
        <w:r>
          <w:rPr>
            <w:color w:val="0000FF"/>
          </w:rPr>
          <w:t>п. п. 2</w:t>
        </w:r>
      </w:hyperlink>
      <w:r>
        <w:t xml:space="preserve">, </w:t>
      </w:r>
      <w:hyperlink r:id="rId25" w:history="1">
        <w:r>
          <w:rPr>
            <w:color w:val="0000FF"/>
          </w:rPr>
          <w:t>3 ст. 333.37</w:t>
        </w:r>
      </w:hyperlink>
      <w:r>
        <w:t xml:space="preserve"> НК РФ):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инвалиды I и II группы. Льгота предоставляется при цене иска до 1 млн руб. Если цена иска превышает 1 млн руб., указанные плательщики уплачивают госпошлину в сумме, исчисленной исходя из цены иска и уменьшенной на сумму госпошлины, подлежащей уплате при цене иска 1 млн руб.;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- по искам, связанным с нарушением прав и законных интересов ребенка.</w:t>
      </w:r>
    </w:p>
    <w:p w:rsidR="00DE3751" w:rsidRDefault="00DE3751">
      <w:pPr>
        <w:pStyle w:val="ConsPlusNormal"/>
        <w:jc w:val="both"/>
      </w:pPr>
    </w:p>
    <w:p w:rsidR="00DE3751" w:rsidRDefault="00DE3751">
      <w:pPr>
        <w:pStyle w:val="ConsPlusNormal"/>
        <w:ind w:firstLine="540"/>
        <w:jc w:val="both"/>
        <w:outlineLvl w:val="1"/>
      </w:pPr>
      <w:r>
        <w:rPr>
          <w:b/>
        </w:rPr>
        <w:t>2.2. Льготы при обращении за совершением нотариальных действий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От уплаты госпошлины за совершение нотариальных действий освобождаются, например (</w:t>
      </w:r>
      <w:hyperlink r:id="rId26" w:history="1">
        <w:r>
          <w:rPr>
            <w:color w:val="0000FF"/>
          </w:rPr>
          <w:t>п. п. 2</w:t>
        </w:r>
      </w:hyperlink>
      <w:r>
        <w:t xml:space="preserve">, </w:t>
      </w:r>
      <w:hyperlink r:id="rId27" w:history="1">
        <w:r>
          <w:rPr>
            <w:color w:val="0000FF"/>
          </w:rPr>
          <w:t>3</w:t>
        </w:r>
      </w:hyperlink>
      <w:r>
        <w:t xml:space="preserve">, </w:t>
      </w:r>
      <w:hyperlink r:id="rId28" w:history="1">
        <w:r>
          <w:rPr>
            <w:color w:val="0000FF"/>
          </w:rPr>
          <w:t>12 ст. 333.38</w:t>
        </w:r>
      </w:hyperlink>
      <w:r>
        <w:t xml:space="preserve"> НК РФ):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1) инвалиды I и II группы - на 50% по всем видам нотариальных действий;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2) завещатели - за удостоверение завещаний имущества в пользу РФ, субъектов РФ или муниципальных образований;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3) наследники - за выдачу свидетельств о праве на наследство при наследовании, например, жилого дома, квартиры, комнаты или долей в них (если наследники проживали совместно с наследодателем на день его смерти и продолжают проживать в этом доме (этой квартире, комнате) после его смерти);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4) физлица, признанные нуждающимися в улучшении жилищных условий, - за удостоверение сделок по приобретению жилого помещения, полностью или частично оплаченного за счет выплат, предоставленных из бюджетных средств.</w:t>
      </w:r>
    </w:p>
    <w:p w:rsidR="00DE3751" w:rsidRDefault="00DE3751">
      <w:pPr>
        <w:pStyle w:val="ConsPlusNormal"/>
        <w:jc w:val="both"/>
      </w:pPr>
    </w:p>
    <w:p w:rsidR="00DE3751" w:rsidRDefault="00DE3751">
      <w:pPr>
        <w:pStyle w:val="ConsPlusNormal"/>
        <w:ind w:firstLine="540"/>
        <w:jc w:val="both"/>
        <w:outlineLvl w:val="1"/>
      </w:pPr>
      <w:r>
        <w:rPr>
          <w:b/>
        </w:rPr>
        <w:t>2.3. Льготы при госрегистрации актов гражданского состояния и других юридически значимых действий уполномоченными органами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При обращении за госрегистрацией актов гражданского состояния и других юридически значимых действий, совершаемых органами ЗАГС и иными уполномоченными органами физлица освобождены от уплаты госпошлины, в частности, в следующих случаях (</w:t>
      </w:r>
      <w:proofErr w:type="spellStart"/>
      <w:r w:rsidR="00440F42">
        <w:fldChar w:fldCharType="begin"/>
      </w:r>
      <w:r w:rsidR="00440F42">
        <w:instrText xml:space="preserve"> HYPE</w:instrText>
      </w:r>
      <w:r w:rsidR="00440F42">
        <w:instrText xml:space="preserve">RLINK "consultantplus://offline/ref=31F1A85A35FC53C111B3E4CA0BA3F410C1AE89EB5296B09FF3ACDD2FF2CBF913890F9A7C8FCBBBI0ZDF" </w:instrText>
      </w:r>
      <w:r w:rsidR="00440F42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17 п. 1</w:t>
      </w:r>
      <w:r w:rsidR="00440F42">
        <w:rPr>
          <w:color w:val="0000FF"/>
        </w:rPr>
        <w:fldChar w:fldCharType="end"/>
      </w:r>
      <w:r>
        <w:t xml:space="preserve">, </w:t>
      </w:r>
      <w:hyperlink r:id="rId2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4.4</w:t>
        </w:r>
      </w:hyperlink>
      <w:r>
        <w:t xml:space="preserve">, </w:t>
      </w:r>
      <w:hyperlink r:id="rId30" w:history="1">
        <w:r>
          <w:rPr>
            <w:color w:val="0000FF"/>
          </w:rPr>
          <w:t>6</w:t>
        </w:r>
      </w:hyperlink>
      <w:r>
        <w:t xml:space="preserve">, </w:t>
      </w:r>
      <w:hyperlink r:id="rId31" w:history="1">
        <w:r>
          <w:rPr>
            <w:color w:val="0000FF"/>
          </w:rPr>
          <w:t>7</w:t>
        </w:r>
      </w:hyperlink>
      <w:r>
        <w:t xml:space="preserve">, </w:t>
      </w:r>
      <w:hyperlink r:id="rId32" w:history="1">
        <w:r>
          <w:rPr>
            <w:color w:val="0000FF"/>
          </w:rPr>
          <w:t>25 п. 3 ст. 333.35</w:t>
        </w:r>
      </w:hyperlink>
      <w:r>
        <w:t xml:space="preserve">, </w:t>
      </w:r>
      <w:hyperlink r:id="rId33" w:history="1">
        <w:r>
          <w:rPr>
            <w:color w:val="0000FF"/>
          </w:rPr>
          <w:t>п. 1 ст. 333.39</w:t>
        </w:r>
      </w:hyperlink>
      <w:r>
        <w:t xml:space="preserve"> НК РФ; </w:t>
      </w:r>
      <w:hyperlink r:id="rId34" w:history="1">
        <w:r>
          <w:rPr>
            <w:color w:val="0000FF"/>
          </w:rPr>
          <w:t>ч. 2 ст. 2</w:t>
        </w:r>
      </w:hyperlink>
      <w:r>
        <w:t xml:space="preserve"> Закона от 27.11.2017 N 352-ФЗ; </w:t>
      </w:r>
      <w:hyperlink r:id="rId35" w:history="1">
        <w:r>
          <w:rPr>
            <w:color w:val="0000FF"/>
          </w:rPr>
          <w:t>ч. 2 ст. 1</w:t>
        </w:r>
      </w:hyperlink>
      <w:r>
        <w:t xml:space="preserve"> Закона N 218-ФЗ):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1) за внесение изменений в запись акта о рождении в связи с усыновлением (удочерением), включая выдачу нового свидетельства о рождении;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2) 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3) за госрегистрацию рождения, смерти, включая выдачу свидетельств;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lastRenderedPageBreak/>
        <w:t>4) за внесение изменений в ЕГРН в случае изменения законодательства РФ;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5) за госрегистрацию ипотеки, возникающей на основании закона, а также за погашение регистрационной записи об ипотеке;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6) за госрегистрацию соглашения об изменении содержания закладной, включая внесение соответствующих изменений в записи ЕГРН;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7) за госрегистрацию с 01.08.2017 права собственности на жилые помещения или доли в них, предоставленные взамен освобожденного жилья в связи с реновацией жилищного фонда в г. Москве;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8) за госрегистрацию прав на недвижимое имущество Союзного государства и сделок с ним.</w:t>
      </w:r>
    </w:p>
    <w:p w:rsidR="00DE3751" w:rsidRDefault="00DE3751">
      <w:pPr>
        <w:pStyle w:val="ConsPlusNormal"/>
        <w:spacing w:before="220"/>
        <w:ind w:firstLine="540"/>
        <w:jc w:val="both"/>
      </w:pPr>
      <w:r>
        <w:t>Кроме того, при наличии возможности обращения с заявлением о совершении юридически значимого действия и уплаты госпошлины через порталы госуслуг и иные порталы, интегрированные с ЕСИА, госпошлина рассчитывается с учетом коэффициента 0,7 (</w:t>
      </w:r>
      <w:hyperlink r:id="rId36" w:history="1">
        <w:r>
          <w:rPr>
            <w:color w:val="0000FF"/>
          </w:rPr>
          <w:t>п. 4 ст. 333.35</w:t>
        </w:r>
      </w:hyperlink>
      <w:r>
        <w:t xml:space="preserve"> НК РФ).</w:t>
      </w:r>
    </w:p>
    <w:p w:rsidR="00DE3751" w:rsidRDefault="00DE3751">
      <w:pPr>
        <w:pStyle w:val="ConsPlusNormal"/>
        <w:jc w:val="both"/>
      </w:pPr>
      <w:bookmarkStart w:id="0" w:name="_GoBack"/>
      <w:bookmarkEnd w:id="0"/>
    </w:p>
    <w:sectPr w:rsidR="00DE3751" w:rsidSect="00D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51"/>
    <w:rsid w:val="00440F42"/>
    <w:rsid w:val="00D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0118-62D0-4BFC-BE36-C7E0EE07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1A85A35FC53C111B3E4CA0BA3F410C1AE89EB5296B09FF3ACDD2FF2CBF913890F9A7C89C8BDI0ZCF" TargetMode="External"/><Relationship Id="rId13" Type="http://schemas.openxmlformats.org/officeDocument/2006/relationships/hyperlink" Target="consultantplus://offline/ref=31F1A85A35FC53C111B3E4CA0BA3F410C1AE89EB5296B09FF3ACDD2FF2CBF913890F9A758ACCIBZ1F" TargetMode="External"/><Relationship Id="rId18" Type="http://schemas.openxmlformats.org/officeDocument/2006/relationships/hyperlink" Target="consultantplus://offline/ref=31F1A85A35FC53C111B3E4CA0BA3F410C1AE89EB5296B09FF3ACDD2FF2CBF913890F9A7C89C9IBZFF" TargetMode="External"/><Relationship Id="rId26" Type="http://schemas.openxmlformats.org/officeDocument/2006/relationships/hyperlink" Target="consultantplus://offline/ref=31F1A85A35FC53C111B3E4CA0BA3F410C1AE89EB5296B09FF3ACDD2FF2CBF913890F9A7C89C6IBZ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1A85A35FC53C111B3E4CA0BA3F410C1AE89EB5296B09FF3ACDD2FF2CBF913890F9A7489CAIBZ0F" TargetMode="External"/><Relationship Id="rId34" Type="http://schemas.openxmlformats.org/officeDocument/2006/relationships/hyperlink" Target="consultantplus://offline/ref=31F1A85A35FC53C111B3E4CA0BA3F410C0A78EED5B98B09FF3ACDD2FF2CBF913890F9A7C8BCFB809IBZCF" TargetMode="External"/><Relationship Id="rId7" Type="http://schemas.openxmlformats.org/officeDocument/2006/relationships/hyperlink" Target="consultantplus://offline/ref=31F1A85A35FC53C111B3E4CA0BA3F410C1AE89EB5296B09FF3ACDD2FF2CBF913890F9A7C88C9B1I0ZBF" TargetMode="External"/><Relationship Id="rId12" Type="http://schemas.openxmlformats.org/officeDocument/2006/relationships/hyperlink" Target="consultantplus://offline/ref=31F1A85A35FC53C111B3E4CA0BA3F410C1AE89EB5296B09FF3ACDD2FF2CBF913890F9A7C89CBIBZAF" TargetMode="External"/><Relationship Id="rId17" Type="http://schemas.openxmlformats.org/officeDocument/2006/relationships/hyperlink" Target="consultantplus://offline/ref=31F1A85A35FC53C111B3E4CA0BA3F410C1AE89EB5296B09FF3ACDD2FF2CBF913890F9A7C89CAIBZ0F" TargetMode="External"/><Relationship Id="rId25" Type="http://schemas.openxmlformats.org/officeDocument/2006/relationships/hyperlink" Target="consultantplus://offline/ref=31F1A85A35FC53C111B3E4CA0BA3F410C1AE89EB5296B09FF3ACDD2FF2CBF913890F9A7C89C6IBZ9F" TargetMode="External"/><Relationship Id="rId33" Type="http://schemas.openxmlformats.org/officeDocument/2006/relationships/hyperlink" Target="consultantplus://offline/ref=31F1A85A35FC53C111B3E4CA0BA3F410C1AE89EB5296B09FF3ACDD2FF2CBF913890F9A7C88CEIBZB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1A85A35FC53C111B3E4CA0BA3F410C1AE89EB5296B09FF3ACDD2FF2CBF913890F9A7C88CEIBZ9F" TargetMode="External"/><Relationship Id="rId20" Type="http://schemas.openxmlformats.org/officeDocument/2006/relationships/hyperlink" Target="consultantplus://offline/ref=31F1A85A35FC53C111B3E4CA0BA3F410C1AE89EB5296B09FF3ACDD2FF2CBF913890F9A7C89C8IBZ9F" TargetMode="External"/><Relationship Id="rId29" Type="http://schemas.openxmlformats.org/officeDocument/2006/relationships/hyperlink" Target="consultantplus://offline/ref=31F1A85A35FC53C111B3E4CA0BA3F410C1AE89EB5296B09FF3ACDD2FF2CBF913890F9A788ECCIBZ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1A85A35FC53C111B3E4CA0BA3F410C1AE89EB5296B09FF3ACDD2FF2CBF913890F9A7C88C9B0I0Z3F" TargetMode="External"/><Relationship Id="rId11" Type="http://schemas.openxmlformats.org/officeDocument/2006/relationships/hyperlink" Target="consultantplus://offline/ref=31F1A85A35FC53C111B3E4CA0BA3F410C1AE89EB5296B09FF3ACDD2FF2CBF913890F9A7C8FCFB9I0Z8F" TargetMode="External"/><Relationship Id="rId24" Type="http://schemas.openxmlformats.org/officeDocument/2006/relationships/hyperlink" Target="consultantplus://offline/ref=31F1A85A35FC53C111B3E4CA0BA3F410C1AE89EB5296B09FF3ACDD2FF2CBF913890F9A7C89C6IBZ8F" TargetMode="External"/><Relationship Id="rId32" Type="http://schemas.openxmlformats.org/officeDocument/2006/relationships/hyperlink" Target="consultantplus://offline/ref=31F1A85A35FC53C111B3E4CA0BA3F410C1AE89EB5296B09FF3ACDD2FF2CBF913890F9A7C8BCBBFI0Z8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1F1A85A35FC53C111B3E4CA0BA3F410C1AE89EB5296B09FF3ACDD2FF2CBF913890F9A7482CFIBZBF" TargetMode="External"/><Relationship Id="rId15" Type="http://schemas.openxmlformats.org/officeDocument/2006/relationships/hyperlink" Target="consultantplus://offline/ref=31F1A85A35FC53C111B3E4CA0BA3F410C1AE89EB5296B09FF3ACDD2FF2CBF913890F9A7C89CDIBZDF" TargetMode="External"/><Relationship Id="rId23" Type="http://schemas.openxmlformats.org/officeDocument/2006/relationships/hyperlink" Target="consultantplus://offline/ref=31F1A85A35FC53C111B3E4CA0BA3F410C1AE89EB5296B09FF3ACDD2FF2CBF913890F9A7C89C7IBZBF" TargetMode="External"/><Relationship Id="rId28" Type="http://schemas.openxmlformats.org/officeDocument/2006/relationships/hyperlink" Target="consultantplus://offline/ref=31F1A85A35FC53C111B3E4CA0BA3F410C1AE89EB5296B09FF3ACDD2FF2CBF913890F9A7E8CC8IBZBF" TargetMode="External"/><Relationship Id="rId36" Type="http://schemas.openxmlformats.org/officeDocument/2006/relationships/hyperlink" Target="consultantplus://offline/ref=31F1A85A35FC53C111B3E4CA0BA3F410C1AE89EB5296B09FF3ACDD2FF2CBF913890F9A7C88C6B9I0Z2F" TargetMode="External"/><Relationship Id="rId10" Type="http://schemas.openxmlformats.org/officeDocument/2006/relationships/hyperlink" Target="consultantplus://offline/ref=31F1A85A35FC53C111B3E4CA0BA3F410C1AE89EB5296B09FF3ACDD2FF2CBF913890F9A7C8AC7BDI0ZFF" TargetMode="External"/><Relationship Id="rId19" Type="http://schemas.openxmlformats.org/officeDocument/2006/relationships/hyperlink" Target="consultantplus://offline/ref=31F1A85A35FC53C111B3E4CA0BA3F410C1AE89EB5296B09FF3ACDD2FF2CBF913890F9A7C89C8IBZAF" TargetMode="External"/><Relationship Id="rId31" Type="http://schemas.openxmlformats.org/officeDocument/2006/relationships/hyperlink" Target="consultantplus://offline/ref=31F1A85A35FC53C111B3E4CA0BA3F410C1AE89EB5296B09FF3ACDD2FF2CBF913890F9A7C89CAIBZ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F1A85A35FC53C111B3E4CA0BA3F410C1AE89EB5296B09FF3ACDD2FF2CBF913890F9A7C8BCBBE0AIBZ6F" TargetMode="External"/><Relationship Id="rId14" Type="http://schemas.openxmlformats.org/officeDocument/2006/relationships/hyperlink" Target="consultantplus://offline/ref=31F1A85A35FC53C111B3E4CA0BA3F410C1AE89EB5296B09FF3ACDD2FF2CBF913890F9A758CICZ8F" TargetMode="External"/><Relationship Id="rId22" Type="http://schemas.openxmlformats.org/officeDocument/2006/relationships/hyperlink" Target="consultantplus://offline/ref=31F1A85A35FC53C111B3E4CA0BA3F410C1AE89EB5296B09FF3ACDD2FF2CBF913890F9A7482CFIBZ0F" TargetMode="External"/><Relationship Id="rId27" Type="http://schemas.openxmlformats.org/officeDocument/2006/relationships/hyperlink" Target="consultantplus://offline/ref=31F1A85A35FC53C111B3E4CA0BA3F410C1AE89EB5296B09FF3ACDD2FF2CBF913890F9A7C89C6IBZEF" TargetMode="External"/><Relationship Id="rId30" Type="http://schemas.openxmlformats.org/officeDocument/2006/relationships/hyperlink" Target="consultantplus://offline/ref=31F1A85A35FC53C111B3E4CA0BA3F410C1AE89EB5296B09FF3ACDD2FF2CBF913890F9A7988CBIBZ1F" TargetMode="External"/><Relationship Id="rId35" Type="http://schemas.openxmlformats.org/officeDocument/2006/relationships/hyperlink" Target="consultantplus://offline/ref=31F1A85A35FC53C111B3E4CA0BA3F410C1AE89EB5399B09FF3ACDD2FF2CBF913890F9A7C8BCFB80AIB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2019-01-09T05:25:00Z</dcterms:created>
  <dcterms:modified xsi:type="dcterms:W3CDTF">2019-01-09T06:53:00Z</dcterms:modified>
</cp:coreProperties>
</file>